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101E463" w14:textId="77777777" w:rsidTr="009131AE">
        <w:trPr>
          <w:trHeight w:val="852"/>
          <w:jc w:val="center"/>
        </w:trPr>
        <w:tc>
          <w:tcPr>
            <w:tcW w:w="6940" w:type="dxa"/>
            <w:vMerge w:val="restart"/>
            <w:tcBorders>
              <w:right w:val="single" w:sz="4" w:space="0" w:color="auto"/>
            </w:tcBorders>
          </w:tcPr>
          <w:p w14:paraId="68AD9186" w14:textId="192798CA" w:rsidR="00B15E63" w:rsidRDefault="002B612F">
            <w:pPr>
              <w:tabs>
                <w:tab w:val="left" w:pos="-108"/>
              </w:tabs>
              <w:ind w:left="-108"/>
              <w:jc w:val="left"/>
              <w:rPr>
                <w:rFonts w:cs="Arial"/>
                <w:b/>
                <w:bCs/>
                <w:i/>
                <w:iCs/>
                <w:color w:val="000066"/>
                <w:sz w:val="12"/>
                <w:szCs w:val="12"/>
                <w:lang w:eastAsia="it-IT"/>
              </w:rPr>
            </w:pPr>
            <w:r>
              <w:pict w14:anchorId="7E9DCB0F">
                <v:shapetype id="_x0000_t202" coordsize="21600,21600" o:spt="202" path="m,l,21600r21600,l21600,xe">
                  <v:stroke joinstyle="miter"/>
                  <v:path gradientshapeok="t" o:connecttype="rect"/>
                </v:shapetype>
                <v:shape id="DeepLBoxSPIDType" o:spid="_x0000_s1026" type="#_x0000_t202" alt="" style="position:absolute;left:0;text-align:left;margin-left:0;margin-top:0;width:50pt;height:50pt;z-index:251660288;visibility:hidden;mso-wrap-edited:f;mso-width-percent:0;mso-height-percent:0;mso-position-horizontal-relative:text;mso-position-vertical-relative:text;mso-width-percent:0;mso-height-percent:0">
                  <o:lock v:ext="edit" selection="t"/>
                </v:shape>
              </w:pict>
            </w:r>
            <w:r w:rsidR="0048770C" w:rsidRPr="00B57B36">
              <w:rPr>
                <w:rFonts w:ascii="AdvP6960" w:hAnsi="AdvP6960" w:cs="AdvP6960"/>
                <w:noProof/>
                <w:color w:val="241F20"/>
                <w:szCs w:val="18"/>
                <w:lang w:val="it-IT" w:eastAsia="it-IT"/>
              </w:rPr>
              <w:drawing>
                <wp:inline distT="0" distB="0" distL="0" distR="0" wp14:anchorId="06840D0B" wp14:editId="12F5059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48770C" w:rsidRPr="00B57B36">
              <w:rPr>
                <w:rFonts w:cs="Arial"/>
                <w:b/>
                <w:bCs/>
                <w:i/>
                <w:iCs/>
                <w:color w:val="000066"/>
                <w:sz w:val="24"/>
                <w:szCs w:val="24"/>
                <w:lang w:eastAsia="it-IT"/>
              </w:rPr>
              <w:t xml:space="preserve"> CHEMICAL ENGINEERING </w:t>
            </w:r>
            <w:r w:rsidR="0048770C" w:rsidRPr="00B57B36">
              <w:rPr>
                <w:rFonts w:cs="Arial"/>
                <w:b/>
                <w:bCs/>
                <w:i/>
                <w:iCs/>
                <w:color w:val="666666"/>
                <w:sz w:val="24"/>
                <w:szCs w:val="24"/>
                <w:lang w:eastAsia="it-IT"/>
              </w:rPr>
              <w:t xml:space="preserve">TRANSACTIONS </w:t>
            </w:r>
            <w:r w:rsidR="0048770C" w:rsidRPr="00B57B36">
              <w:rPr>
                <w:rFonts w:cs="Arial"/>
                <w:b/>
                <w:bCs/>
                <w:i/>
                <w:iCs/>
                <w:color w:val="000066"/>
                <w:sz w:val="27"/>
                <w:szCs w:val="27"/>
                <w:lang w:eastAsia="it-IT"/>
              </w:rPr>
              <w:br/>
            </w:r>
          </w:p>
          <w:p w14:paraId="65B4BBBC" w14:textId="77777777" w:rsidR="00B15E63" w:rsidRDefault="0048770C">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B57E6F">
              <w:rPr>
                <w:rFonts w:cs="Arial"/>
                <w:b/>
                <w:bCs/>
                <w:i/>
                <w:iCs/>
                <w:color w:val="000066"/>
                <w:sz w:val="22"/>
                <w:szCs w:val="22"/>
                <w:lang w:eastAsia="it-IT"/>
              </w:rPr>
              <w:t>91</w:t>
            </w:r>
            <w:r w:rsidR="007B48F9">
              <w:rPr>
                <w:rFonts w:cs="Arial"/>
                <w:b/>
                <w:bCs/>
                <w:i/>
                <w:iCs/>
                <w:color w:val="000066"/>
                <w:sz w:val="22"/>
                <w:szCs w:val="22"/>
                <w:lang w:eastAsia="it-IT"/>
              </w:rPr>
              <w:t xml:space="preserve">, </w:t>
            </w:r>
            <w:r w:rsidR="00FA5F5F">
              <w:rPr>
                <w:rFonts w:cs="Arial"/>
                <w:b/>
                <w:bCs/>
                <w:i/>
                <w:iCs/>
                <w:color w:val="000066"/>
                <w:sz w:val="22"/>
                <w:szCs w:val="22"/>
                <w:lang w:eastAsia="it-IT"/>
              </w:rPr>
              <w:t>2022</w:t>
            </w:r>
          </w:p>
        </w:tc>
        <w:tc>
          <w:tcPr>
            <w:tcW w:w="1842" w:type="dxa"/>
            <w:tcBorders>
              <w:left w:val="single" w:sz="4" w:space="0" w:color="auto"/>
              <w:bottom w:val="nil"/>
              <w:right w:val="single" w:sz="4" w:space="0" w:color="auto"/>
            </w:tcBorders>
          </w:tcPr>
          <w:p w14:paraId="61931760" w14:textId="77777777" w:rsidR="00B15E63" w:rsidRDefault="0048770C">
            <w:pPr>
              <w:spacing w:line="140" w:lineRule="atLeast"/>
              <w:jc w:val="right"/>
              <w:rPr>
                <w:rFonts w:cs="Arial"/>
                <w:sz w:val="14"/>
                <w:szCs w:val="14"/>
              </w:rPr>
            </w:pPr>
            <w:r w:rsidRPr="00B57B36">
              <w:rPr>
                <w:rFonts w:cs="Arial"/>
                <w:sz w:val="14"/>
                <w:szCs w:val="14"/>
              </w:rPr>
              <w:t>A publication of</w:t>
            </w:r>
          </w:p>
          <w:p w14:paraId="62F4B648" w14:textId="77777777" w:rsidR="000A03B2" w:rsidRPr="00B57B36" w:rsidRDefault="000A03B2" w:rsidP="00CD5FE2">
            <w:pPr>
              <w:jc w:val="right"/>
            </w:pPr>
            <w:r w:rsidRPr="00B57B36">
              <w:rPr>
                <w:noProof/>
                <w:lang w:val="it-IT" w:eastAsia="it-IT"/>
              </w:rPr>
              <w:drawing>
                <wp:inline distT="0" distB="0" distL="0" distR="0" wp14:anchorId="5CE413DF" wp14:editId="34DB3DA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01FC822" w14:textId="77777777" w:rsidTr="009131AE">
        <w:trPr>
          <w:trHeight w:val="567"/>
          <w:jc w:val="center"/>
        </w:trPr>
        <w:tc>
          <w:tcPr>
            <w:tcW w:w="6940" w:type="dxa"/>
            <w:vMerge/>
            <w:tcBorders>
              <w:right w:val="single" w:sz="4" w:space="0" w:color="auto"/>
            </w:tcBorders>
          </w:tcPr>
          <w:p w14:paraId="20A389F3"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3CEFFCE7" w14:textId="77777777" w:rsidR="00B15E63" w:rsidRDefault="0048770C">
            <w:pPr>
              <w:spacing w:line="140" w:lineRule="atLeast"/>
              <w:jc w:val="right"/>
              <w:rPr>
                <w:rFonts w:cs="Arial"/>
                <w:sz w:val="14"/>
                <w:szCs w:val="14"/>
              </w:rPr>
            </w:pPr>
            <w:r w:rsidRPr="00B57B36">
              <w:rPr>
                <w:rFonts w:cs="Arial"/>
                <w:sz w:val="14"/>
                <w:szCs w:val="14"/>
              </w:rPr>
              <w:t>The Italian Association</w:t>
            </w:r>
          </w:p>
          <w:p w14:paraId="5DC60AA6" w14:textId="77777777" w:rsidR="00B15E63" w:rsidRDefault="0048770C">
            <w:pPr>
              <w:spacing w:line="140" w:lineRule="atLeast"/>
              <w:jc w:val="right"/>
              <w:rPr>
                <w:rFonts w:cs="Arial"/>
                <w:sz w:val="14"/>
                <w:szCs w:val="14"/>
              </w:rPr>
            </w:pPr>
            <w:r w:rsidRPr="00B57B36">
              <w:rPr>
                <w:rFonts w:cs="Arial"/>
                <w:sz w:val="14"/>
                <w:szCs w:val="14"/>
              </w:rPr>
              <w:t>of Chemical Engineering</w:t>
            </w:r>
          </w:p>
          <w:p w14:paraId="11936F41" w14:textId="77777777" w:rsidR="00B15E63" w:rsidRDefault="0048770C">
            <w:pPr>
              <w:spacing w:line="140" w:lineRule="atLeast"/>
              <w:jc w:val="right"/>
              <w:rPr>
                <w:rFonts w:cs="Arial"/>
                <w:sz w:val="13"/>
                <w:szCs w:val="13"/>
              </w:rPr>
            </w:pPr>
            <w:r w:rsidRPr="000D0268">
              <w:rPr>
                <w:rFonts w:cs="Arial"/>
                <w:sz w:val="13"/>
                <w:szCs w:val="13"/>
              </w:rPr>
              <w:t>Online at www.cetjournal.it</w:t>
            </w:r>
          </w:p>
        </w:tc>
      </w:tr>
      <w:tr w:rsidR="000A03B2" w:rsidRPr="00B57B36" w14:paraId="6D0BF2FF" w14:textId="77777777" w:rsidTr="009131AE">
        <w:trPr>
          <w:trHeight w:val="68"/>
          <w:jc w:val="center"/>
        </w:trPr>
        <w:tc>
          <w:tcPr>
            <w:tcW w:w="8782" w:type="dxa"/>
            <w:gridSpan w:val="2"/>
          </w:tcPr>
          <w:p w14:paraId="3E4DB10B" w14:textId="77777777" w:rsidR="00B15E63" w:rsidRDefault="0048770C">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 xml:space="preserve">Editors: </w:t>
            </w:r>
            <w:r w:rsidR="00B57E6F">
              <w:rPr>
                <w:rFonts w:ascii="Tahoma" w:hAnsi="Tahoma" w:cs="Tahoma"/>
                <w:color w:val="000000"/>
                <w:sz w:val="14"/>
                <w:szCs w:val="14"/>
                <w:shd w:val="clear" w:color="auto" w:fill="FFFFFF"/>
              </w:rPr>
              <w:t xml:space="preserve">Valerio Cozzani,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r w:rsidR="00B57E6F" w:rsidRPr="00675866">
              <w:rPr>
                <w:rFonts w:ascii="Tahoma" w:hAnsi="Tahoma" w:cs="Tahoma"/>
                <w:bCs/>
                <w:color w:val="000000"/>
                <w:sz w:val="14"/>
                <w:szCs w:val="14"/>
                <w:lang w:eastAsia="it-IT"/>
              </w:rPr>
              <w:t>Genserik Reniers</w:t>
            </w:r>
          </w:p>
          <w:p w14:paraId="458DD407" w14:textId="77777777" w:rsidR="00B15E63" w:rsidRDefault="0048770C">
            <w:pPr>
              <w:tabs>
                <w:tab w:val="left" w:pos="-108"/>
              </w:tabs>
              <w:spacing w:line="140" w:lineRule="atLeast"/>
              <w:ind w:left="-107"/>
              <w:jc w:val="left"/>
            </w:pPr>
            <w:r>
              <w:rPr>
                <w:rFonts w:ascii="Tahoma" w:hAnsi="Tahoma" w:cs="Tahoma"/>
                <w:iCs/>
                <w:color w:val="333333"/>
                <w:sz w:val="14"/>
                <w:szCs w:val="14"/>
                <w:lang w:eastAsia="it-IT"/>
              </w:rPr>
              <w:t>Copyright © 2022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 xml:space="preserve">ISBN </w:t>
            </w:r>
            <w:r w:rsidR="008D32B9">
              <w:rPr>
                <w:rFonts w:ascii="Tahoma" w:hAnsi="Tahoma" w:cs="Tahoma"/>
                <w:sz w:val="14"/>
                <w:szCs w:val="14"/>
              </w:rPr>
              <w:t>978-88-95608-89-1</w:t>
            </w:r>
            <w:r w:rsidR="007B48F9" w:rsidRPr="00EF06D9">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 xml:space="preserve">ISSN </w:t>
            </w:r>
            <w:r w:rsidR="00300E56" w:rsidRPr="00B57B36">
              <w:rPr>
                <w:rFonts w:ascii="Tahoma" w:hAnsi="Tahoma" w:cs="Tahoma"/>
                <w:iCs/>
                <w:color w:val="333333"/>
                <w:sz w:val="14"/>
                <w:szCs w:val="14"/>
                <w:lang w:eastAsia="it-IT"/>
              </w:rPr>
              <w:t>2283-9216</w:t>
            </w:r>
          </w:p>
        </w:tc>
      </w:tr>
    </w:tbl>
    <w:p w14:paraId="7E761466"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58FBA7D3" w14:textId="5C17A05C" w:rsidR="00E00418" w:rsidRDefault="00E00418" w:rsidP="00E00418">
      <w:pPr>
        <w:pStyle w:val="CETAuthors"/>
        <w:jc w:val="center"/>
        <w:rPr>
          <w:b/>
          <w:noProof w:val="0"/>
          <w:sz w:val="32"/>
          <w:lang w:val="en-US"/>
        </w:rPr>
      </w:pPr>
      <w:r w:rsidRPr="00E00418">
        <w:rPr>
          <w:b/>
          <w:noProof w:val="0"/>
          <w:sz w:val="32"/>
          <w:lang w:val="en-US"/>
        </w:rPr>
        <w:t xml:space="preserve">Application of quality, safety and environmental management tools in industrial companies from the </w:t>
      </w:r>
      <w:proofErr w:type="spellStart"/>
      <w:r w:rsidRPr="00E00418">
        <w:rPr>
          <w:b/>
          <w:noProof w:val="0"/>
          <w:sz w:val="32"/>
          <w:lang w:val="en-US"/>
        </w:rPr>
        <w:t>litographic</w:t>
      </w:r>
      <w:proofErr w:type="spellEnd"/>
      <w:r w:rsidRPr="00E00418">
        <w:rPr>
          <w:b/>
          <w:noProof w:val="0"/>
          <w:sz w:val="32"/>
          <w:lang w:val="en-US"/>
        </w:rPr>
        <w:t xml:space="preserve"> sector</w:t>
      </w:r>
    </w:p>
    <w:p w14:paraId="089646C8" w14:textId="15B1F6EF" w:rsidR="00B15E63" w:rsidRDefault="0048770C">
      <w:pPr>
        <w:pStyle w:val="CETAuthors"/>
        <w:rPr>
          <w:lang w:val="es-CO"/>
        </w:rPr>
      </w:pPr>
      <w:r w:rsidRPr="00EC2CC9">
        <w:rPr>
          <w:rFonts w:cstheme="minorHAnsi"/>
          <w:lang w:val="es-CO"/>
        </w:rPr>
        <w:t>Jeniffer Gracia</w:t>
      </w:r>
      <w:r w:rsidR="00B57E6F" w:rsidRPr="00EC2CC9">
        <w:rPr>
          <w:vertAlign w:val="superscript"/>
          <w:lang w:val="es-CO"/>
        </w:rPr>
        <w:t>a</w:t>
      </w:r>
      <w:r w:rsidRPr="00EC2CC9">
        <w:rPr>
          <w:vertAlign w:val="superscript"/>
          <w:lang w:val="es-CO"/>
        </w:rPr>
        <w:t>*</w:t>
      </w:r>
      <w:r w:rsidR="00B57E6F" w:rsidRPr="00EC2CC9">
        <w:rPr>
          <w:lang w:val="es-CO"/>
        </w:rPr>
        <w:t xml:space="preserve">, </w:t>
      </w:r>
      <w:r w:rsidRPr="00EC2CC9">
        <w:rPr>
          <w:rFonts w:cstheme="minorHAnsi"/>
          <w:lang w:val="es-CO"/>
        </w:rPr>
        <w:t>Paola Acevedo</w:t>
      </w:r>
      <w:r w:rsidR="00B57E6F" w:rsidRPr="00EC2CC9">
        <w:rPr>
          <w:vertAlign w:val="superscript"/>
          <w:lang w:val="es-CO"/>
        </w:rPr>
        <w:t>b</w:t>
      </w:r>
      <w:r w:rsidR="00B57E6F" w:rsidRPr="00EC2CC9">
        <w:rPr>
          <w:lang w:val="es-CO"/>
        </w:rPr>
        <w:t xml:space="preserve">, </w:t>
      </w:r>
      <w:r w:rsidR="009131AE">
        <w:rPr>
          <w:rFonts w:cstheme="minorHAnsi"/>
          <w:lang w:val="es-CO"/>
        </w:rPr>
        <w:t>Emiro Trujillo</w:t>
      </w:r>
      <w:r w:rsidR="009131AE" w:rsidRPr="009131AE">
        <w:rPr>
          <w:rFonts w:cstheme="minorHAnsi"/>
          <w:vertAlign w:val="superscript"/>
          <w:lang w:val="es-CO"/>
        </w:rPr>
        <w:t>ab</w:t>
      </w:r>
    </w:p>
    <w:p w14:paraId="08261FE8" w14:textId="77777777" w:rsidR="00B15E63" w:rsidRDefault="0048770C">
      <w:pPr>
        <w:pStyle w:val="CETAddress"/>
        <w:jc w:val="both"/>
        <w:rPr>
          <w:lang w:val="es-CO"/>
        </w:rPr>
      </w:pPr>
      <w:r w:rsidRPr="00EC2CC9">
        <w:rPr>
          <w:vertAlign w:val="superscript"/>
          <w:lang w:val="es-CO"/>
        </w:rPr>
        <w:t>a</w:t>
      </w:r>
      <w:r w:rsidR="00EC2CC9" w:rsidRPr="00EC2CC9">
        <w:rPr>
          <w:lang w:val="es-ES"/>
        </w:rPr>
        <w:t>Universidad Distrital "Francisco José de Caldas", Bogotá, Carrera 7 No. 40B-53, Colombia</w:t>
      </w:r>
    </w:p>
    <w:p w14:paraId="39A2B211" w14:textId="45BA7616" w:rsidR="00B15E63" w:rsidRPr="00B86195" w:rsidRDefault="0048770C">
      <w:pPr>
        <w:pStyle w:val="CETAddress"/>
        <w:jc w:val="both"/>
        <w:rPr>
          <w:lang w:val="en-US"/>
        </w:rPr>
      </w:pPr>
      <w:r w:rsidRPr="00B86195">
        <w:rPr>
          <w:vertAlign w:val="superscript"/>
          <w:lang w:val="en-US"/>
        </w:rPr>
        <w:t>b</w:t>
      </w:r>
      <w:r w:rsidR="00EC2CC9" w:rsidRPr="00B86195">
        <w:rPr>
          <w:lang w:val="en-US"/>
        </w:rPr>
        <w:t>Department of Industrial Engineering, Universidad Cooperativa de Colombia, Bogotá, Avenida Caracas 37-63, Colombia</w:t>
      </w:r>
    </w:p>
    <w:p w14:paraId="31960527" w14:textId="21BAC1F1" w:rsidR="00B15E63" w:rsidRDefault="00182221">
      <w:pPr>
        <w:pStyle w:val="CETAddress"/>
      </w:pPr>
      <w:r w:rsidRPr="00B86195">
        <w:rPr>
          <w:lang w:val="en-US"/>
        </w:rPr>
        <w:t xml:space="preserve"> </w:t>
      </w:r>
      <w:hyperlink r:id="rId10" w:history="1">
        <w:r w:rsidR="009131AE" w:rsidRPr="00407BD8">
          <w:rPr>
            <w:rStyle w:val="Hipervnculo"/>
          </w:rPr>
          <w:t>jpgraciar@udistrital.edu.co</w:t>
        </w:r>
      </w:hyperlink>
    </w:p>
    <w:p w14:paraId="63506DE0" w14:textId="77777777" w:rsidR="00182221" w:rsidRDefault="00182221" w:rsidP="00600535">
      <w:pPr>
        <w:pStyle w:val="CETBodytext"/>
        <w:rPr>
          <w:lang w:val="en-GB"/>
        </w:rPr>
      </w:pPr>
    </w:p>
    <w:p w14:paraId="41891079" w14:textId="77777777" w:rsidR="007C6B53" w:rsidRDefault="007C6B53" w:rsidP="007C6B53">
      <w:pPr>
        <w:pStyle w:val="CETBodytext"/>
      </w:pPr>
      <w:r>
        <w:t>This research contains a study performed in different companies from the lithographic sector of Bogotá city, Puente Aranda neighborhood. Currently, these companies require high consumption of raw materials and chemical substances to manufacture books, magazines, manuals, posters, brochures, and others. As a result, they lead to wasted paper, inks, glues, and solvents derived from different processes, generating various environmental impacts and occupational diseases.</w:t>
      </w:r>
    </w:p>
    <w:p w14:paraId="4249BEFC" w14:textId="77777777" w:rsidR="007C6B53" w:rsidRDefault="007C6B53" w:rsidP="007C6B53">
      <w:pPr>
        <w:pStyle w:val="CETBodytext"/>
      </w:pPr>
      <w:r>
        <w:t>To contribute to these companies' Industrial Safety and Occupational Health and environmental management and identify their environmental impacts, quality management tools and search for solutions were applied to the analysis of processes and products. It allowed the collection of relevant information on resource consumption, waste production (quantity and type of waste) and final disposal, and emissions at the source, heading to identifying the critical points to determine improvement opportunities.</w:t>
      </w:r>
    </w:p>
    <w:p w14:paraId="40DBE650" w14:textId="7ADFC5B9" w:rsidR="007C6B53" w:rsidRDefault="007C6B53" w:rsidP="007C6B53">
      <w:pPr>
        <w:pStyle w:val="CETBodytext"/>
      </w:pPr>
      <w:r>
        <w:t>According to the results obtained, approximately 21.33 Kg of toxic waste is generated monthly as hazardous waste or wastes during the manufacturing process. It causes different environmental impacts such as atmospheric toxic emissions and contamination of water sources, of which 56% corresponds to the waste and discharges through the production area; these discharges correspond to toxic wastes such as inks, glues, and reagents, which have special handling for this type of companies.</w:t>
      </w:r>
    </w:p>
    <w:p w14:paraId="0CAD6526" w14:textId="0B842D72" w:rsidR="007C6B53" w:rsidRDefault="007C6B53">
      <w:pPr>
        <w:pStyle w:val="CETBodytext"/>
      </w:pPr>
    </w:p>
    <w:p w14:paraId="5C4FC7E2" w14:textId="77777777" w:rsidR="00B15E63" w:rsidRDefault="0048770C">
      <w:pPr>
        <w:pStyle w:val="CETListbullets"/>
        <w:ind w:left="0" w:firstLine="0"/>
        <w:rPr>
          <w:rStyle w:val="CETBodytextCarattere"/>
        </w:rPr>
      </w:pPr>
      <w:r w:rsidRPr="00182221">
        <w:rPr>
          <w:rStyle w:val="CETHeadingxxChar"/>
        </w:rPr>
        <w:t xml:space="preserve">Key words: </w:t>
      </w:r>
      <w:r w:rsidRPr="00182221">
        <w:rPr>
          <w:rStyle w:val="CETBodytextCarattere"/>
        </w:rPr>
        <w:t xml:space="preserve">cleaner production, hazardous waste, lithographic sector. </w:t>
      </w:r>
    </w:p>
    <w:p w14:paraId="7BB40E40" w14:textId="77777777" w:rsidR="00B15E63" w:rsidRDefault="0048770C">
      <w:pPr>
        <w:pStyle w:val="CETHeading1"/>
        <w:rPr>
          <w:lang w:val="en-GB"/>
        </w:rPr>
      </w:pPr>
      <w:r w:rsidRPr="00B57B36">
        <w:rPr>
          <w:lang w:val="en-GB"/>
        </w:rPr>
        <w:t>Introduction</w:t>
      </w:r>
    </w:p>
    <w:p w14:paraId="4617C8AA" w14:textId="77AC4272" w:rsidR="009131AE" w:rsidRPr="00705EC7" w:rsidRDefault="00B151E8" w:rsidP="000B2C01">
      <w:pPr>
        <w:pStyle w:val="CETBodytext"/>
      </w:pPr>
      <w:r w:rsidRPr="00B151E8">
        <w:t>The lithographic sector contributes a significant portion to the industrial consolidation in Colombia. For this reason, it is crucial to evaluate the environmental impacts that this sector generates. According to IHOBE (2000), the main environmental issues detected in the lithographic sector are inks, hazardous residues generation, excessive use of paper, and a high percentage of maculature, around 90% of the total residues generated in all the lithographic companies. The lithographic companies located in Bogotá present high quantities of raw materials used and high use of chemicals during the manufacturing of books, magazines, manuals, posters, and publicity. Additionally, this manufacturing process generates high amounts of residues. According to a study made by “Cámara de Comercio de Bogotá” (CCB), the graphic arts sector represents 2.61% of the GDP. Therefore, the sector generates negative environmental impacts to cover the city's great demand. Furthermore, there is no management plan for the disposition of the residues after products at the end of life.</w:t>
      </w:r>
    </w:p>
    <w:p w14:paraId="121616ED" w14:textId="77777777" w:rsidR="001E2C29" w:rsidRDefault="001E2C29" w:rsidP="00705EC7">
      <w:pPr>
        <w:pStyle w:val="CETBodytext"/>
      </w:pPr>
    </w:p>
    <w:p w14:paraId="30C95FDD" w14:textId="110BF080" w:rsidR="00B151E8" w:rsidRPr="00705EC7" w:rsidRDefault="00B151E8" w:rsidP="00705EC7">
      <w:pPr>
        <w:pStyle w:val="CETBodytext"/>
      </w:pPr>
      <w:r w:rsidRPr="00705EC7">
        <w:t>On the other hand, through the cleaner production strategy applied in the graphic arts industries, it is possible to reduce emissions that generate diseases, reduce water consumption and effluent discharges, improve energy efficiency by making the processes more sustainable. In addition, to obtaining economic and competitive advantages and generating employment through diversification, technological modernization, and innovation, they have achieved sustainable economic growth (</w:t>
      </w:r>
      <w:proofErr w:type="spellStart"/>
      <w:r w:rsidRPr="00705EC7">
        <w:t>Aristizábal</w:t>
      </w:r>
      <w:proofErr w:type="spellEnd"/>
      <w:r w:rsidRPr="00705EC7">
        <w:t xml:space="preserve">, </w:t>
      </w:r>
      <w:proofErr w:type="spellStart"/>
      <w:r w:rsidRPr="00705EC7">
        <w:t>Avendaño</w:t>
      </w:r>
      <w:proofErr w:type="spellEnd"/>
      <w:r w:rsidRPr="00705EC7">
        <w:t xml:space="preserve">, and Ruiz, 2016). Furthermore, preventing and efficiently minimizing the impacts and risks to occupational health, safety, and the environment </w:t>
      </w:r>
      <w:r w:rsidRPr="00705EC7">
        <w:lastRenderedPageBreak/>
        <w:t>resulting from industry guarantees environmental protection. It allows an approach to responsible management in corporate development (</w:t>
      </w:r>
      <w:proofErr w:type="spellStart"/>
      <w:r w:rsidRPr="00705EC7">
        <w:t>Minambiente</w:t>
      </w:r>
      <w:proofErr w:type="spellEnd"/>
      <w:r w:rsidRPr="00705EC7">
        <w:t>, 2021). All these goals can be achieved by reducing the consumption of raw materials and improving processes to be environmentally friendly. Moreover, considering the acquisition of raw materials to their final disposal reduces waste and improves the responsiveness of the productive sectors to market demands (Fajardo, 2017).</w:t>
      </w:r>
    </w:p>
    <w:p w14:paraId="0AE35166" w14:textId="77777777" w:rsidR="001E2C29" w:rsidRDefault="001E2C29" w:rsidP="00705EC7">
      <w:pPr>
        <w:pStyle w:val="CETBodytext"/>
      </w:pPr>
    </w:p>
    <w:p w14:paraId="386F6DF0" w14:textId="3BA02CCC" w:rsidR="00B151E8" w:rsidRPr="00705EC7" w:rsidRDefault="00B151E8" w:rsidP="00705EC7">
      <w:pPr>
        <w:pStyle w:val="CETBodytext"/>
      </w:pPr>
      <w:r w:rsidRPr="00705EC7">
        <w:t xml:space="preserve">Environmental Management Systems are crucial in explaining environmental improvements and company performance. Thus, some authors assume that thanks to the implementation of such systems, enterprises can (Amores, J., et.al., 2015; </w:t>
      </w:r>
      <w:proofErr w:type="spellStart"/>
      <w:r w:rsidRPr="00705EC7">
        <w:t>Bugdol</w:t>
      </w:r>
      <w:proofErr w:type="spellEnd"/>
      <w:r w:rsidRPr="00705EC7">
        <w:t>, et. al., 2020):</w:t>
      </w:r>
    </w:p>
    <w:p w14:paraId="25D9630F" w14:textId="77777777" w:rsidR="00B151E8" w:rsidRPr="00705EC7" w:rsidRDefault="00B151E8" w:rsidP="00705EC7">
      <w:pPr>
        <w:pStyle w:val="CETBodytext"/>
      </w:pPr>
      <w:r w:rsidRPr="00705EC7">
        <w:t>- Improve the corporate image and reputation.</w:t>
      </w:r>
    </w:p>
    <w:p w14:paraId="1FBA0C3F" w14:textId="77777777" w:rsidR="00B151E8" w:rsidRPr="00705EC7" w:rsidRDefault="00B151E8" w:rsidP="00705EC7">
      <w:pPr>
        <w:pStyle w:val="CETBodytext"/>
      </w:pPr>
      <w:r w:rsidRPr="00705EC7">
        <w:t>- Fit environmental regulations</w:t>
      </w:r>
    </w:p>
    <w:p w14:paraId="3F747F8A" w14:textId="77777777" w:rsidR="00B151E8" w:rsidRPr="00705EC7" w:rsidRDefault="00B151E8" w:rsidP="00705EC7">
      <w:pPr>
        <w:pStyle w:val="CETBodytext"/>
      </w:pPr>
      <w:r w:rsidRPr="00705EC7">
        <w:t>- Strengthening in the market</w:t>
      </w:r>
    </w:p>
    <w:p w14:paraId="734DA2E0" w14:textId="77777777" w:rsidR="00B151E8" w:rsidRPr="00705EC7" w:rsidRDefault="00B151E8" w:rsidP="00705EC7">
      <w:pPr>
        <w:pStyle w:val="CETBodytext"/>
      </w:pPr>
      <w:r w:rsidRPr="00705EC7">
        <w:t>- Obtain competitive advantages</w:t>
      </w:r>
    </w:p>
    <w:p w14:paraId="046E721A" w14:textId="77777777" w:rsidR="00B151E8" w:rsidRPr="00705EC7" w:rsidRDefault="00B151E8" w:rsidP="00705EC7">
      <w:pPr>
        <w:pStyle w:val="CETBodytext"/>
      </w:pPr>
      <w:r w:rsidRPr="00705EC7">
        <w:t xml:space="preserve">- Cost reduction and improvements in operational performance and quality of production. </w:t>
      </w:r>
    </w:p>
    <w:p w14:paraId="75E14957" w14:textId="77777777" w:rsidR="001E2C29" w:rsidRDefault="001E2C29" w:rsidP="00705EC7">
      <w:pPr>
        <w:pStyle w:val="CETBodytext"/>
      </w:pPr>
    </w:p>
    <w:p w14:paraId="513F1F0F" w14:textId="5DB1D3E9" w:rsidR="002822EB" w:rsidRPr="00705EC7" w:rsidRDefault="00B151E8" w:rsidP="00705EC7">
      <w:pPr>
        <w:pStyle w:val="CETBodytext"/>
      </w:pPr>
      <w:r w:rsidRPr="00705EC7">
        <w:t>All these items represent an environmentally friendly behavior at the microeconomic level, as it plays a considerably positive role in such management processes.</w:t>
      </w:r>
    </w:p>
    <w:p w14:paraId="0BFAF713" w14:textId="77777777" w:rsidR="001E2C29" w:rsidRPr="00705EC7" w:rsidRDefault="001E2C29" w:rsidP="00705EC7">
      <w:pPr>
        <w:pStyle w:val="CETBodytext"/>
      </w:pPr>
    </w:p>
    <w:p w14:paraId="6475BC5D" w14:textId="77777777" w:rsidR="00705EC7" w:rsidRDefault="00705EC7" w:rsidP="00705EC7">
      <w:pPr>
        <w:pStyle w:val="CETBodytext"/>
      </w:pPr>
      <w:r>
        <w:t>Adopting ISO management standards relates directly to efficient applications that improve internal practices based on recognized management principles to establish social legitimacy and respond to specific external pressures. In this context, life cycle analysis must define the significant environmental aspects that will impact the operational plan and subsequent controls. Whether the objective is to improve customer satisfaction, measure and reduce emissions, increase productivity in a company or implement a policy (</w:t>
      </w:r>
      <w:proofErr w:type="spellStart"/>
      <w:r>
        <w:t>Boiral</w:t>
      </w:r>
      <w:proofErr w:type="spellEnd"/>
      <w:r>
        <w:t xml:space="preserve">, O., 2011), this is important since, according to </w:t>
      </w:r>
      <w:proofErr w:type="spellStart"/>
      <w:r>
        <w:t>Belantová</w:t>
      </w:r>
      <w:proofErr w:type="spellEnd"/>
      <w:r>
        <w:t xml:space="preserve"> and </w:t>
      </w:r>
      <w:proofErr w:type="spellStart"/>
      <w:r>
        <w:t>Peterek</w:t>
      </w:r>
      <w:proofErr w:type="spellEnd"/>
      <w:r>
        <w:t xml:space="preserve"> (2020), the risk management process gives businesses a competitive advantage.</w:t>
      </w:r>
    </w:p>
    <w:p w14:paraId="2F229BB2" w14:textId="77777777" w:rsidR="001E2C29" w:rsidRDefault="001E2C29" w:rsidP="001E2C29">
      <w:pPr>
        <w:pStyle w:val="CETBodytext"/>
      </w:pPr>
    </w:p>
    <w:p w14:paraId="5DB983B1" w14:textId="77777777" w:rsidR="001E2C29" w:rsidRDefault="00705EC7" w:rsidP="001E2C29">
      <w:pPr>
        <w:pStyle w:val="CETBodytext"/>
      </w:pPr>
      <w:r>
        <w:t xml:space="preserve">In this sense, the graphic arts industries in Bogotá D.C. are committed to creating integrated quality management systems, which seek to implement occupational health and safety management, environmental management, compliance with legislation, and the application of good labor and environmental practices. </w:t>
      </w:r>
    </w:p>
    <w:p w14:paraId="25E48937" w14:textId="77777777" w:rsidR="001E2C29" w:rsidRDefault="001E2C29" w:rsidP="001E2C29">
      <w:pPr>
        <w:pStyle w:val="CETBodytext"/>
      </w:pPr>
    </w:p>
    <w:p w14:paraId="6B596311" w14:textId="6A589999" w:rsidR="001E2C29" w:rsidRDefault="00705EC7" w:rsidP="001E2C29">
      <w:pPr>
        <w:pStyle w:val="CETBodytext"/>
      </w:pPr>
      <w:r>
        <w:t>Therefore, this research contributed to promoting in the companies of the lithographic sector of Bogotá D.C. training in the organization, the identification of environmental aspects and impacts, the implementation of corrective actions, as well as in the formulation, implementation, and maintenance of the ISO 14001-2015 standard, in order to achieve optimal environmental performance (Ramírez, 2013), and following the twelfth objective of sustainable development, responsible production and consumption. Furthermore, the above could be integrated into companies with the advances in quality management ISO 9001 and management systems for occupational health and safety at work ISO 45001. Therefore, with this contribution, it is relevant to recognize the relationship between integrated management systems, improved occupational health and safety, and cleaner production in companies in the graphic arts sector, applying quality tools.</w:t>
      </w:r>
    </w:p>
    <w:p w14:paraId="54D98EF4" w14:textId="77777777" w:rsidR="00B15E63" w:rsidRDefault="0048770C" w:rsidP="001E2C29">
      <w:pPr>
        <w:pStyle w:val="CETHeading1"/>
        <w:rPr>
          <w:rFonts w:eastAsiaTheme="minorHAnsi"/>
        </w:rPr>
      </w:pPr>
      <w:r w:rsidRPr="000226AB">
        <w:rPr>
          <w:rFonts w:eastAsiaTheme="minorHAnsi"/>
        </w:rPr>
        <w:t>Materials and methods</w:t>
      </w:r>
    </w:p>
    <w:p w14:paraId="1A793F4E" w14:textId="77777777" w:rsidR="00851DCB" w:rsidRPr="00851DCB" w:rsidRDefault="00851DCB" w:rsidP="00851DCB">
      <w:pPr>
        <w:pStyle w:val="CETBodytext"/>
        <w:rPr>
          <w:rFonts w:eastAsiaTheme="minorHAnsi" w:cs="Arial"/>
          <w:szCs w:val="18"/>
        </w:rPr>
      </w:pPr>
      <w:r w:rsidRPr="00851DCB">
        <w:rPr>
          <w:rFonts w:eastAsiaTheme="minorHAnsi" w:cs="Arial"/>
          <w:szCs w:val="18"/>
        </w:rPr>
        <w:t xml:space="preserve">The research was developed in three main stages: diagnosis, analysis, and proposal formulation. First, based on the information collected in the graphic arts companies, the production processes carried out were detailed, which allowed us to know in detail their activities, consumption, and impacts, following the methodology of Bastidas, et. al. </w:t>
      </w:r>
    </w:p>
    <w:p w14:paraId="4E895CA6" w14:textId="77777777" w:rsidR="005A4537" w:rsidRDefault="005A4537" w:rsidP="00851DCB">
      <w:pPr>
        <w:pStyle w:val="CETBodytext"/>
        <w:rPr>
          <w:rFonts w:eastAsiaTheme="minorHAnsi" w:cs="Arial"/>
          <w:szCs w:val="18"/>
        </w:rPr>
      </w:pPr>
    </w:p>
    <w:p w14:paraId="387E4E88" w14:textId="13235BE7" w:rsidR="00851DCB" w:rsidRPr="00851DCB" w:rsidRDefault="00851DCB" w:rsidP="00851DCB">
      <w:pPr>
        <w:pStyle w:val="CETBodytext"/>
        <w:rPr>
          <w:rFonts w:eastAsiaTheme="minorHAnsi" w:cs="Arial"/>
          <w:szCs w:val="18"/>
        </w:rPr>
      </w:pPr>
      <w:r w:rsidRPr="00851DCB">
        <w:rPr>
          <w:rFonts w:eastAsiaTheme="minorHAnsi" w:cs="Arial"/>
          <w:szCs w:val="18"/>
        </w:rPr>
        <w:t xml:space="preserve">Then, verifying the information collected in the companies was the next step. The information analysis step includes quantitative and qualitative environmental diagnostic tools such as the flow diagram, the </w:t>
      </w:r>
      <w:proofErr w:type="spellStart"/>
      <w:r w:rsidRPr="00851DCB">
        <w:rPr>
          <w:rFonts w:eastAsiaTheme="minorHAnsi" w:cs="Arial"/>
          <w:szCs w:val="18"/>
        </w:rPr>
        <w:t>Ecobalance</w:t>
      </w:r>
      <w:proofErr w:type="spellEnd"/>
      <w:r w:rsidRPr="00851DCB">
        <w:rPr>
          <w:rFonts w:eastAsiaTheme="minorHAnsi" w:cs="Arial"/>
          <w:szCs w:val="18"/>
        </w:rPr>
        <w:t xml:space="preserve">, the MED Matrix, and environmental aspects and impacts analysis. Finally, the quality tool Failure Mode and Effects Analysis (FMEA) was applied, considering that failure modes are those elements that do not meet the specifications and that can potentially fail within a system, and the effects are the symptoms perceived by the customer. </w:t>
      </w:r>
    </w:p>
    <w:p w14:paraId="34BC42A9" w14:textId="77777777" w:rsidR="005A4537" w:rsidRDefault="005A4537" w:rsidP="00851DCB">
      <w:pPr>
        <w:pStyle w:val="CETBodytext"/>
        <w:rPr>
          <w:rFonts w:eastAsiaTheme="minorHAnsi" w:cs="Arial"/>
          <w:szCs w:val="18"/>
        </w:rPr>
      </w:pPr>
    </w:p>
    <w:p w14:paraId="3538E2D1" w14:textId="0F250427" w:rsidR="001E2C29" w:rsidRDefault="00851DCB" w:rsidP="00851DCB">
      <w:pPr>
        <w:pStyle w:val="CETBodytext"/>
        <w:rPr>
          <w:rFonts w:eastAsiaTheme="minorHAnsi" w:cs="Arial"/>
          <w:szCs w:val="18"/>
        </w:rPr>
      </w:pPr>
      <w:r w:rsidRPr="00851DCB">
        <w:rPr>
          <w:rFonts w:eastAsiaTheme="minorHAnsi" w:cs="Arial"/>
          <w:szCs w:val="18"/>
        </w:rPr>
        <w:t xml:space="preserve">Usually, referring to the system's performance, the methodology of </w:t>
      </w:r>
      <w:proofErr w:type="spellStart"/>
      <w:r w:rsidRPr="00851DCB">
        <w:rPr>
          <w:rFonts w:eastAsiaTheme="minorHAnsi" w:cs="Arial"/>
          <w:szCs w:val="18"/>
        </w:rPr>
        <w:t>Camisón</w:t>
      </w:r>
      <w:proofErr w:type="spellEnd"/>
      <w:r w:rsidRPr="00851DCB">
        <w:rPr>
          <w:rFonts w:eastAsiaTheme="minorHAnsi" w:cs="Arial"/>
          <w:szCs w:val="18"/>
        </w:rPr>
        <w:t>, et al., 2006; Gutiérrez and Vara, 2013 allows to know the root causes of failures in environmental management and industrial safety to propose adequate controls (</w:t>
      </w:r>
      <w:proofErr w:type="spellStart"/>
      <w:r w:rsidRPr="00851DCB">
        <w:rPr>
          <w:rFonts w:eastAsiaTheme="minorHAnsi" w:cs="Arial"/>
          <w:szCs w:val="18"/>
        </w:rPr>
        <w:t>Lópes</w:t>
      </w:r>
      <w:proofErr w:type="spellEnd"/>
      <w:r w:rsidRPr="00851DCB">
        <w:rPr>
          <w:rFonts w:eastAsiaTheme="minorHAnsi" w:cs="Arial"/>
          <w:szCs w:val="18"/>
        </w:rPr>
        <w:t>, et. al., 2013).</w:t>
      </w:r>
    </w:p>
    <w:p w14:paraId="4C3BE4F0" w14:textId="77777777" w:rsidR="001E2C29" w:rsidRDefault="001E2C29" w:rsidP="00851DCB">
      <w:pPr>
        <w:pStyle w:val="CETBodytext"/>
        <w:rPr>
          <w:rFonts w:eastAsiaTheme="minorHAnsi" w:cs="Arial"/>
          <w:szCs w:val="18"/>
        </w:rPr>
      </w:pPr>
    </w:p>
    <w:p w14:paraId="7F476DEE" w14:textId="1A1D00EC" w:rsidR="00B15E63" w:rsidRDefault="0048770C" w:rsidP="000B2C01">
      <w:pPr>
        <w:pStyle w:val="CETHeading1"/>
        <w:rPr>
          <w:rFonts w:eastAsiaTheme="minorHAnsi"/>
        </w:rPr>
      </w:pPr>
      <w:r w:rsidRPr="00A36E00">
        <w:rPr>
          <w:rFonts w:eastAsiaTheme="minorHAnsi"/>
        </w:rPr>
        <w:lastRenderedPageBreak/>
        <w:t>Results and Analysis</w:t>
      </w:r>
    </w:p>
    <w:p w14:paraId="342770B7" w14:textId="4BE23E2B" w:rsidR="00A74199" w:rsidRPr="00A36E00" w:rsidRDefault="00735636" w:rsidP="00EE78AD">
      <w:pPr>
        <w:pStyle w:val="CETHeading1"/>
        <w:numPr>
          <w:ilvl w:val="0"/>
          <w:numId w:val="0"/>
        </w:numPr>
        <w:jc w:val="both"/>
      </w:pPr>
      <w:r w:rsidRPr="00735636">
        <w:rPr>
          <w:rFonts w:eastAsiaTheme="minorHAnsi"/>
          <w:b w:val="0"/>
          <w:sz w:val="18"/>
        </w:rPr>
        <w:t>The study used cleaner production tools to process products in two graphic arts companies as a diagnostic strategy. The goal was to identify the environmental and health impacts on workers generated in companies in this sector by using raw materials such as paper, inks, glues solvents, and alcohols.</w:t>
      </w:r>
    </w:p>
    <w:p w14:paraId="681BDA72" w14:textId="4177D1FC" w:rsidR="00B15E63" w:rsidRPr="000B2C01" w:rsidRDefault="001E2C29" w:rsidP="001E2C29">
      <w:pPr>
        <w:pStyle w:val="CETheadingx"/>
        <w:rPr>
          <w:lang w:val="en-US"/>
        </w:rPr>
      </w:pPr>
      <w:r w:rsidRPr="000B2C01">
        <w:rPr>
          <w:lang w:val="en-US"/>
        </w:rPr>
        <w:t>3</w:t>
      </w:r>
      <w:r w:rsidR="0048770C" w:rsidRPr="000B2C01">
        <w:rPr>
          <w:lang w:val="en-US"/>
        </w:rPr>
        <w:t>.1 MED Matrix</w:t>
      </w:r>
    </w:p>
    <w:p w14:paraId="0F982993" w14:textId="2B1C9135" w:rsidR="00B15E63" w:rsidRPr="00A36E00" w:rsidRDefault="0048770C">
      <w:pPr>
        <w:spacing w:line="240" w:lineRule="auto"/>
        <w:rPr>
          <w:rFonts w:cstheme="minorHAnsi"/>
          <w:lang w:val="en-US"/>
        </w:rPr>
      </w:pPr>
      <w:r w:rsidRPr="00A36E00">
        <w:rPr>
          <w:rFonts w:cstheme="minorHAnsi"/>
          <w:lang w:val="en-US"/>
        </w:rPr>
        <w:t>All environmental impacts were integrated from start to finish of the production process in a plotter printing press, involving procedures, activitie</w:t>
      </w:r>
      <w:bookmarkStart w:id="0" w:name="_GoBack"/>
      <w:bookmarkEnd w:id="0"/>
      <w:r w:rsidRPr="00A36E00">
        <w:rPr>
          <w:rFonts w:cstheme="minorHAnsi"/>
          <w:lang w:val="en-US"/>
        </w:rPr>
        <w:t>s</w:t>
      </w:r>
      <w:r w:rsidR="00C736D4">
        <w:rPr>
          <w:rFonts w:cstheme="minorHAnsi"/>
          <w:lang w:val="en-US"/>
        </w:rPr>
        <w:t>,</w:t>
      </w:r>
      <w:r w:rsidRPr="00A36E00">
        <w:rPr>
          <w:rFonts w:cstheme="minorHAnsi"/>
          <w:lang w:val="en-US"/>
        </w:rPr>
        <w:t xml:space="preserve"> and materials used, and </w:t>
      </w:r>
      <w:r w:rsidR="001736A1" w:rsidRPr="00A36E00">
        <w:rPr>
          <w:rFonts w:cstheme="minorHAnsi"/>
          <w:lang w:val="en-US"/>
        </w:rPr>
        <w:t xml:space="preserve">in Table 1, the </w:t>
      </w:r>
      <w:r w:rsidRPr="00A36E00">
        <w:rPr>
          <w:rFonts w:cstheme="minorHAnsi"/>
          <w:lang w:val="en-US"/>
        </w:rPr>
        <w:t>stages are detailed, relating them to inputs and wastes.</w:t>
      </w:r>
    </w:p>
    <w:p w14:paraId="5B7F9DEE" w14:textId="77777777" w:rsidR="00B15E63" w:rsidRPr="000B2C01" w:rsidRDefault="0048770C" w:rsidP="00735636">
      <w:pPr>
        <w:pStyle w:val="CETTabletitle"/>
      </w:pPr>
      <w:r w:rsidRPr="000B2C01">
        <w:t xml:space="preserve">Table 1: </w:t>
      </w:r>
      <w:r w:rsidR="00412E90" w:rsidRPr="000B2C01">
        <w:t>MED Industries Matrix Lithographic Sector</w:t>
      </w:r>
    </w:p>
    <w:tbl>
      <w:tblPr>
        <w:tblW w:w="893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18"/>
        <w:gridCol w:w="3118"/>
        <w:gridCol w:w="1560"/>
        <w:gridCol w:w="2693"/>
        <w:gridCol w:w="141"/>
      </w:tblGrid>
      <w:tr w:rsidR="00250FCC" w:rsidRPr="00B57B36" w14:paraId="3D7768BD" w14:textId="77777777" w:rsidTr="0008170E">
        <w:trPr>
          <w:gridAfter w:val="1"/>
          <w:wAfter w:w="141" w:type="dxa"/>
        </w:trPr>
        <w:tc>
          <w:tcPr>
            <w:tcW w:w="1418" w:type="dxa"/>
            <w:tcBorders>
              <w:top w:val="single" w:sz="12" w:space="0" w:color="008000"/>
              <w:bottom w:val="single" w:sz="6" w:space="0" w:color="008000"/>
            </w:tcBorders>
            <w:shd w:val="clear" w:color="auto" w:fill="FFFFFF"/>
          </w:tcPr>
          <w:p w14:paraId="49DA8FC6" w14:textId="77777777" w:rsidR="00250FCC" w:rsidRPr="00A36E00" w:rsidRDefault="00250FCC" w:rsidP="00E9259E">
            <w:pPr>
              <w:pStyle w:val="CETBodytext"/>
            </w:pPr>
          </w:p>
        </w:tc>
        <w:tc>
          <w:tcPr>
            <w:tcW w:w="3118" w:type="dxa"/>
            <w:tcBorders>
              <w:top w:val="single" w:sz="12" w:space="0" w:color="008000"/>
              <w:bottom w:val="single" w:sz="6" w:space="0" w:color="008000"/>
            </w:tcBorders>
            <w:shd w:val="clear" w:color="auto" w:fill="FFFFFF"/>
          </w:tcPr>
          <w:p w14:paraId="60CA7060" w14:textId="77777777" w:rsidR="00B15E63" w:rsidRPr="00EE78AD" w:rsidRDefault="0048770C">
            <w:pPr>
              <w:pStyle w:val="CETBodytext"/>
              <w:jc w:val="center"/>
              <w:rPr>
                <w:b/>
                <w:lang w:val="en-GB"/>
              </w:rPr>
            </w:pPr>
            <w:r w:rsidRPr="00EE78AD">
              <w:rPr>
                <w:b/>
                <w:lang w:val="en-GB"/>
              </w:rPr>
              <w:t>MATERIALS</w:t>
            </w:r>
          </w:p>
        </w:tc>
        <w:tc>
          <w:tcPr>
            <w:tcW w:w="1560" w:type="dxa"/>
            <w:tcBorders>
              <w:top w:val="single" w:sz="12" w:space="0" w:color="008000"/>
              <w:bottom w:val="single" w:sz="6" w:space="0" w:color="008000"/>
            </w:tcBorders>
            <w:shd w:val="clear" w:color="auto" w:fill="FFFFFF"/>
          </w:tcPr>
          <w:p w14:paraId="5145FDB9" w14:textId="77777777" w:rsidR="00B15E63" w:rsidRPr="00EE78AD" w:rsidRDefault="0048770C">
            <w:pPr>
              <w:pStyle w:val="CETBodytext"/>
              <w:jc w:val="center"/>
              <w:rPr>
                <w:b/>
                <w:lang w:val="en-GB"/>
              </w:rPr>
            </w:pPr>
            <w:r w:rsidRPr="00EE78AD">
              <w:rPr>
                <w:b/>
                <w:lang w:val="en-GB"/>
              </w:rPr>
              <w:t>ENERGY</w:t>
            </w:r>
          </w:p>
        </w:tc>
        <w:tc>
          <w:tcPr>
            <w:tcW w:w="2693" w:type="dxa"/>
            <w:tcBorders>
              <w:top w:val="single" w:sz="12" w:space="0" w:color="008000"/>
              <w:bottom w:val="single" w:sz="6" w:space="0" w:color="008000"/>
            </w:tcBorders>
            <w:shd w:val="clear" w:color="auto" w:fill="FFFFFF"/>
          </w:tcPr>
          <w:p w14:paraId="05237CCD" w14:textId="77777777" w:rsidR="00B15E63" w:rsidRPr="00EE78AD" w:rsidRDefault="0048770C">
            <w:pPr>
              <w:pStyle w:val="CETBodytext"/>
              <w:ind w:right="-1"/>
              <w:jc w:val="center"/>
              <w:rPr>
                <w:rFonts w:cs="Arial"/>
                <w:b/>
                <w:szCs w:val="18"/>
                <w:lang w:val="en-GB"/>
              </w:rPr>
            </w:pPr>
            <w:r w:rsidRPr="00EE78AD">
              <w:rPr>
                <w:b/>
                <w:lang w:val="en-GB"/>
              </w:rPr>
              <w:t>WASTE</w:t>
            </w:r>
          </w:p>
        </w:tc>
      </w:tr>
      <w:tr w:rsidR="00250FCC" w:rsidRPr="0067390F" w14:paraId="70A3FFB8" w14:textId="77777777" w:rsidTr="0008170E">
        <w:trPr>
          <w:gridAfter w:val="1"/>
          <w:wAfter w:w="141" w:type="dxa"/>
        </w:trPr>
        <w:tc>
          <w:tcPr>
            <w:tcW w:w="1418" w:type="dxa"/>
            <w:shd w:val="clear" w:color="auto" w:fill="FFFFFF"/>
            <w:vAlign w:val="center"/>
          </w:tcPr>
          <w:p w14:paraId="28F9F134" w14:textId="77777777" w:rsidR="00B15E63" w:rsidRDefault="0048770C">
            <w:pPr>
              <w:pStyle w:val="CETBodytext"/>
              <w:rPr>
                <w:lang w:val="en-GB"/>
              </w:rPr>
            </w:pPr>
            <w:r w:rsidRPr="00250FCC">
              <w:rPr>
                <w:lang w:val="en-GB"/>
              </w:rPr>
              <w:t>RAW MATERIAL</w:t>
            </w:r>
          </w:p>
        </w:tc>
        <w:tc>
          <w:tcPr>
            <w:tcW w:w="3118" w:type="dxa"/>
            <w:shd w:val="clear" w:color="auto" w:fill="FFFFFF"/>
            <w:vAlign w:val="center"/>
          </w:tcPr>
          <w:p w14:paraId="17A729DD" w14:textId="2CBF8CA3" w:rsidR="00B15E63" w:rsidRPr="00A36E00" w:rsidRDefault="0048770C">
            <w:pPr>
              <w:pStyle w:val="CETBodytext"/>
              <w:ind w:left="140" w:right="142"/>
            </w:pPr>
            <w:r w:rsidRPr="00A36E00">
              <w:t xml:space="preserve">Inks: QUICKSON series, TOUGH-TEX series, DAY- GLO series, offset paper, coated paper, grammage (brochures and magazines) transparent acetate films. </w:t>
            </w:r>
            <w:r w:rsidRPr="00A36E00">
              <w:br/>
              <w:t xml:space="preserve">Digital material, lithographic cleaner, </w:t>
            </w:r>
            <w:r w:rsidR="00735636" w:rsidRPr="00A36E00">
              <w:t>aluminum</w:t>
            </w:r>
            <w:r w:rsidRPr="00A36E00">
              <w:t xml:space="preserve"> plates, rubber threads, polypropylene, paper inks, glues, </w:t>
            </w:r>
            <w:r w:rsidR="00A37551" w:rsidRPr="00A36E00">
              <w:t>solvents, alcohols</w:t>
            </w:r>
            <w:r w:rsidRPr="00A36E00">
              <w:t>.</w:t>
            </w:r>
          </w:p>
          <w:p w14:paraId="02FDD230" w14:textId="77777777" w:rsidR="0008170E" w:rsidRPr="00A36E00" w:rsidRDefault="0008170E" w:rsidP="0008170E">
            <w:pPr>
              <w:pStyle w:val="CETBodytext"/>
              <w:ind w:left="140" w:right="142"/>
            </w:pPr>
          </w:p>
        </w:tc>
        <w:tc>
          <w:tcPr>
            <w:tcW w:w="1560" w:type="dxa"/>
            <w:shd w:val="clear" w:color="auto" w:fill="FFFFFF"/>
            <w:vAlign w:val="center"/>
          </w:tcPr>
          <w:p w14:paraId="5E75392D" w14:textId="77777777" w:rsidR="00B15E63" w:rsidRDefault="0048770C">
            <w:pPr>
              <w:pStyle w:val="CETBodytext"/>
              <w:ind w:left="141" w:right="284"/>
              <w:jc w:val="left"/>
              <w:rPr>
                <w:lang w:val="es-CO"/>
              </w:rPr>
            </w:pPr>
            <w:r w:rsidRPr="00250FCC">
              <w:rPr>
                <w:lang w:val="en-GB"/>
              </w:rPr>
              <w:t xml:space="preserve">Electricity Fossil </w:t>
            </w:r>
            <w:r w:rsidRPr="00250FCC">
              <w:rPr>
                <w:lang w:val="en-GB"/>
              </w:rPr>
              <w:br/>
              <w:t>Fuels</w:t>
            </w:r>
          </w:p>
        </w:tc>
        <w:tc>
          <w:tcPr>
            <w:tcW w:w="2693" w:type="dxa"/>
            <w:shd w:val="clear" w:color="auto" w:fill="FFFFFF"/>
            <w:vAlign w:val="center"/>
          </w:tcPr>
          <w:p w14:paraId="521F66F7" w14:textId="77777777" w:rsidR="00B15E63" w:rsidRPr="00A36E00" w:rsidRDefault="0048770C">
            <w:pPr>
              <w:pStyle w:val="CETBodytext"/>
              <w:ind w:right="-1"/>
            </w:pPr>
            <w:r w:rsidRPr="00A36E00">
              <w:t>Cardboard boxes</w:t>
            </w:r>
            <w:r w:rsidR="0001104D" w:rsidRPr="00A36E00">
              <w:t>.</w:t>
            </w:r>
          </w:p>
          <w:p w14:paraId="19BDE6A0" w14:textId="77777777" w:rsidR="00B15E63" w:rsidRPr="00A36E00" w:rsidRDefault="0048770C">
            <w:pPr>
              <w:pStyle w:val="CETBodytext"/>
              <w:ind w:right="-1"/>
            </w:pPr>
            <w:r w:rsidRPr="00A36E00">
              <w:t>Cardboard rolls</w:t>
            </w:r>
            <w:r w:rsidR="0001104D" w:rsidRPr="00A36E00">
              <w:t>.</w:t>
            </w:r>
          </w:p>
          <w:p w14:paraId="25455A40" w14:textId="77777777" w:rsidR="00B15E63" w:rsidRPr="00A36E00" w:rsidRDefault="0048770C">
            <w:pPr>
              <w:pStyle w:val="CETBodytext"/>
              <w:ind w:right="-1"/>
              <w:rPr>
                <w:rFonts w:cs="Arial"/>
                <w:szCs w:val="18"/>
              </w:rPr>
            </w:pPr>
            <w:r w:rsidRPr="00A36E00">
              <w:t>Solids contaminated with inks</w:t>
            </w:r>
            <w:r w:rsidR="00412E90" w:rsidRPr="00A36E00">
              <w:t>.</w:t>
            </w:r>
          </w:p>
        </w:tc>
      </w:tr>
      <w:tr w:rsidR="00AC3C85" w:rsidRPr="0067390F" w14:paraId="364F8B54" w14:textId="77777777" w:rsidTr="0008170E">
        <w:trPr>
          <w:gridAfter w:val="1"/>
          <w:wAfter w:w="141" w:type="dxa"/>
        </w:trPr>
        <w:tc>
          <w:tcPr>
            <w:tcW w:w="1418" w:type="dxa"/>
            <w:shd w:val="clear" w:color="auto" w:fill="FFFFFF"/>
            <w:vAlign w:val="center"/>
          </w:tcPr>
          <w:p w14:paraId="5E963811" w14:textId="77777777" w:rsidR="00B15E63" w:rsidRDefault="0048770C">
            <w:pPr>
              <w:pStyle w:val="CETBodytext"/>
              <w:rPr>
                <w:lang w:val="en-GB"/>
              </w:rPr>
            </w:pPr>
            <w:r w:rsidRPr="00250FCC">
              <w:rPr>
                <w:lang w:val="en-GB"/>
              </w:rPr>
              <w:t>PRODUCTION</w:t>
            </w:r>
          </w:p>
        </w:tc>
        <w:tc>
          <w:tcPr>
            <w:tcW w:w="3118" w:type="dxa"/>
            <w:shd w:val="clear" w:color="auto" w:fill="FFFFFF"/>
            <w:vAlign w:val="center"/>
          </w:tcPr>
          <w:p w14:paraId="43F1D8B0" w14:textId="3E974792" w:rsidR="00B15E63" w:rsidRPr="00A36E00" w:rsidRDefault="0048770C">
            <w:pPr>
              <w:pStyle w:val="CETBodytext"/>
              <w:ind w:left="140"/>
            </w:pPr>
            <w:r w:rsidRPr="00A36E00">
              <w:t>Direct printing</w:t>
            </w:r>
            <w:r w:rsidR="00A37551" w:rsidRPr="00A36E00">
              <w:t xml:space="preserve">, </w:t>
            </w:r>
            <w:r w:rsidR="000220E4">
              <w:t>b</w:t>
            </w:r>
            <w:r w:rsidRPr="00A36E00">
              <w:t>lanket printing</w:t>
            </w:r>
            <w:r w:rsidR="00A37551" w:rsidRPr="00A36E00">
              <w:t xml:space="preserve">, </w:t>
            </w:r>
            <w:r w:rsidR="000220E4">
              <w:t>w</w:t>
            </w:r>
            <w:r w:rsidRPr="00A36E00">
              <w:t>ater-based printing</w:t>
            </w:r>
            <w:r w:rsidR="00A37551" w:rsidRPr="00A36E00">
              <w:t xml:space="preserve">, </w:t>
            </w:r>
            <w:r w:rsidR="000220E4">
              <w:t>s</w:t>
            </w:r>
            <w:r w:rsidRPr="00A36E00">
              <w:t>creen printing</w:t>
            </w:r>
            <w:r w:rsidR="00A37551" w:rsidRPr="00A36E00">
              <w:t xml:space="preserve">, </w:t>
            </w:r>
            <w:r w:rsidR="000220E4">
              <w:t>p</w:t>
            </w:r>
            <w:r w:rsidRPr="00A36E00">
              <w:t xml:space="preserve">re-printing: </w:t>
            </w:r>
            <w:r w:rsidR="000220E4">
              <w:t>p</w:t>
            </w:r>
            <w:r w:rsidRPr="00A36E00">
              <w:t>hotocomposition</w:t>
            </w:r>
            <w:r w:rsidR="00A37551" w:rsidRPr="00A36E00">
              <w:t xml:space="preserve">, </w:t>
            </w:r>
            <w:r w:rsidR="000220E4">
              <w:t>p</w:t>
            </w:r>
            <w:r w:rsidRPr="00A36E00">
              <w:t>rinting: plates</w:t>
            </w:r>
            <w:r w:rsidR="00A37551" w:rsidRPr="00A36E00">
              <w:t xml:space="preserve">, </w:t>
            </w:r>
            <w:r w:rsidR="000220E4">
              <w:t>p</w:t>
            </w:r>
            <w:r w:rsidRPr="00A36E00">
              <w:t xml:space="preserve">ost-printing: cutting, folding, milling, stitching, binding, packaging. Pre-press, </w:t>
            </w:r>
            <w:r w:rsidR="000220E4">
              <w:t>c</w:t>
            </w:r>
            <w:r w:rsidRPr="00A36E00">
              <w:t xml:space="preserve">onverting, </w:t>
            </w:r>
            <w:r w:rsidR="00735636" w:rsidRPr="00A36E00">
              <w:t>cutting</w:t>
            </w:r>
            <w:r w:rsidRPr="00A36E00">
              <w:t xml:space="preserve"> white paper</w:t>
            </w:r>
            <w:r w:rsidR="0008170E" w:rsidRPr="00A36E00">
              <w:t>,</w:t>
            </w:r>
            <w:r w:rsidRPr="00A36E00">
              <w:t xml:space="preserve"> </w:t>
            </w:r>
            <w:r w:rsidR="000220E4">
              <w:t>p</w:t>
            </w:r>
            <w:r w:rsidRPr="00A36E00">
              <w:t>rinting</w:t>
            </w:r>
            <w:r w:rsidR="0008170E" w:rsidRPr="00A36E00">
              <w:t xml:space="preserve">, </w:t>
            </w:r>
            <w:r w:rsidR="005A4537" w:rsidRPr="00A36E00">
              <w:t>cutting</w:t>
            </w:r>
            <w:r w:rsidRPr="00A36E00">
              <w:t xml:space="preserve"> printed paper, </w:t>
            </w:r>
            <w:r w:rsidR="000220E4">
              <w:t>l</w:t>
            </w:r>
            <w:r w:rsidRPr="00A36E00">
              <w:t xml:space="preserve">aminating, </w:t>
            </w:r>
            <w:r w:rsidR="00412E90" w:rsidRPr="00A36E00">
              <w:t xml:space="preserve">folding, </w:t>
            </w:r>
            <w:r w:rsidR="000220E4">
              <w:t>s</w:t>
            </w:r>
            <w:r w:rsidR="00412E90" w:rsidRPr="00A36E00">
              <w:t>ewing</w:t>
            </w:r>
            <w:r w:rsidR="0008170E" w:rsidRPr="00A36E00">
              <w:t xml:space="preserve">, </w:t>
            </w:r>
            <w:r w:rsidR="000220E4">
              <w:t>g</w:t>
            </w:r>
            <w:r w:rsidRPr="00A36E00">
              <w:t xml:space="preserve">umming, </w:t>
            </w:r>
            <w:r w:rsidR="000220E4">
              <w:t>c</w:t>
            </w:r>
            <w:r w:rsidRPr="00A36E00">
              <w:t xml:space="preserve">oating, </w:t>
            </w:r>
            <w:r w:rsidR="000220E4">
              <w:t>c</w:t>
            </w:r>
            <w:r w:rsidRPr="00A36E00">
              <w:t>ardboard cutting</w:t>
            </w:r>
            <w:r w:rsidR="00A37551" w:rsidRPr="00A36E00">
              <w:t xml:space="preserve">, </w:t>
            </w:r>
            <w:r w:rsidR="000220E4">
              <w:t>h</w:t>
            </w:r>
            <w:r w:rsidRPr="00A36E00">
              <w:t xml:space="preserve">ardcover assembly, </w:t>
            </w:r>
            <w:r w:rsidR="000220E4">
              <w:t>w</w:t>
            </w:r>
            <w:r w:rsidRPr="00A36E00">
              <w:t>ire drawing</w:t>
            </w:r>
            <w:r w:rsidR="0008170E" w:rsidRPr="00A36E00">
              <w:t>.</w:t>
            </w:r>
          </w:p>
          <w:p w14:paraId="3012C316" w14:textId="77777777" w:rsidR="0008170E" w:rsidRPr="00A36E00" w:rsidRDefault="0008170E" w:rsidP="00A37551">
            <w:pPr>
              <w:pStyle w:val="CETBodytext"/>
              <w:ind w:left="140"/>
            </w:pPr>
          </w:p>
        </w:tc>
        <w:tc>
          <w:tcPr>
            <w:tcW w:w="1560" w:type="dxa"/>
            <w:shd w:val="clear" w:color="auto" w:fill="FFFFFF"/>
            <w:vAlign w:val="center"/>
          </w:tcPr>
          <w:p w14:paraId="5AD2F317" w14:textId="77777777" w:rsidR="00B15E63" w:rsidRDefault="0048770C">
            <w:pPr>
              <w:pStyle w:val="CETBodytext"/>
              <w:ind w:left="141" w:right="427"/>
              <w:jc w:val="left"/>
              <w:rPr>
                <w:lang w:val="es-CO"/>
              </w:rPr>
            </w:pPr>
            <w:r w:rsidRPr="00250FCC">
              <w:rPr>
                <w:lang w:val="en-GB"/>
              </w:rPr>
              <w:t>Electricity</w:t>
            </w:r>
          </w:p>
        </w:tc>
        <w:tc>
          <w:tcPr>
            <w:tcW w:w="2693" w:type="dxa"/>
            <w:shd w:val="clear" w:color="auto" w:fill="FFFFFF"/>
            <w:vAlign w:val="center"/>
          </w:tcPr>
          <w:p w14:paraId="69C499DC" w14:textId="77777777" w:rsidR="00B15E63" w:rsidRPr="00A36E00" w:rsidRDefault="0048770C">
            <w:pPr>
              <w:pStyle w:val="CETBodytext"/>
              <w:ind w:right="-1"/>
            </w:pPr>
            <w:r w:rsidRPr="00A36E00">
              <w:t>Discharges of polluted water</w:t>
            </w:r>
            <w:r w:rsidR="00412E90" w:rsidRPr="00A36E00">
              <w:t xml:space="preserve">, </w:t>
            </w:r>
            <w:r w:rsidRPr="00A36E00">
              <w:t>wastewater from development</w:t>
            </w:r>
            <w:r w:rsidR="00412E90" w:rsidRPr="00A36E00">
              <w:t xml:space="preserve">, </w:t>
            </w:r>
            <w:r w:rsidRPr="00A36E00">
              <w:t>solid and leftover waste</w:t>
            </w:r>
            <w:r w:rsidR="0001104D" w:rsidRPr="00A36E00">
              <w:t xml:space="preserve">, </w:t>
            </w:r>
            <w:r w:rsidRPr="00A36E00">
              <w:t>waste ink</w:t>
            </w:r>
            <w:r w:rsidR="0001104D" w:rsidRPr="00A36E00">
              <w:t xml:space="preserve">, </w:t>
            </w:r>
            <w:r w:rsidRPr="00A36E00">
              <w:t>batteries, toner and acetate waste</w:t>
            </w:r>
            <w:r w:rsidR="00412E90" w:rsidRPr="00A36E00">
              <w:t xml:space="preserve">, </w:t>
            </w:r>
            <w:r w:rsidRPr="00A36E00">
              <w:t>fluorescent bulbs, digital and technological waste</w:t>
            </w:r>
            <w:r w:rsidR="00412E90" w:rsidRPr="00A36E00">
              <w:t xml:space="preserve">, </w:t>
            </w:r>
            <w:r w:rsidRPr="00A36E00">
              <w:t>reagents, glues and wet solids</w:t>
            </w:r>
            <w:r w:rsidR="00412E90" w:rsidRPr="00A36E00">
              <w:t xml:space="preserve">, </w:t>
            </w:r>
            <w:r w:rsidRPr="00A36E00">
              <w:t>ultra violet lights</w:t>
            </w:r>
            <w:r w:rsidR="00412E90" w:rsidRPr="00A36E00">
              <w:t>.</w:t>
            </w:r>
          </w:p>
        </w:tc>
      </w:tr>
      <w:tr w:rsidR="00517A75" w:rsidRPr="0067390F" w14:paraId="52CED5E0" w14:textId="77777777" w:rsidTr="0008170E">
        <w:tc>
          <w:tcPr>
            <w:tcW w:w="1418" w:type="dxa"/>
            <w:shd w:val="clear" w:color="auto" w:fill="FFFFFF"/>
            <w:vAlign w:val="center"/>
          </w:tcPr>
          <w:p w14:paraId="24A0D967" w14:textId="77777777" w:rsidR="00B15E63" w:rsidRDefault="0048770C">
            <w:pPr>
              <w:pStyle w:val="CETBodytext"/>
              <w:rPr>
                <w:lang w:val="en-GB"/>
              </w:rPr>
            </w:pPr>
            <w:r w:rsidRPr="00250FCC">
              <w:rPr>
                <w:lang w:val="en-GB"/>
              </w:rPr>
              <w:t>DISTRIBUTION</w:t>
            </w:r>
          </w:p>
        </w:tc>
        <w:tc>
          <w:tcPr>
            <w:tcW w:w="3118" w:type="dxa"/>
            <w:shd w:val="clear" w:color="auto" w:fill="FFFFFF"/>
            <w:vAlign w:val="center"/>
          </w:tcPr>
          <w:p w14:paraId="49C10D9F" w14:textId="6CD60C2F" w:rsidR="00B15E63" w:rsidRPr="00A36E00" w:rsidRDefault="0048770C">
            <w:pPr>
              <w:pStyle w:val="CETBodytext"/>
              <w:ind w:left="140"/>
            </w:pPr>
            <w:r w:rsidRPr="00A36E00">
              <w:t>Forklift trucks</w:t>
            </w:r>
            <w:r w:rsidR="00A37551" w:rsidRPr="00A36E00">
              <w:t xml:space="preserve">, </w:t>
            </w:r>
            <w:r w:rsidR="000220E4">
              <w:t>o</w:t>
            </w:r>
            <w:r w:rsidRPr="00A36E00">
              <w:t>verland transport</w:t>
            </w:r>
            <w:r w:rsidR="00A37551" w:rsidRPr="00A36E00">
              <w:t xml:space="preserve">, </w:t>
            </w:r>
            <w:r w:rsidR="000220E4">
              <w:t>p</w:t>
            </w:r>
            <w:r w:rsidRPr="00A36E00">
              <w:t>ackaging and warehousing</w:t>
            </w:r>
            <w:r w:rsidR="00412E90" w:rsidRPr="00A36E00">
              <w:t>.</w:t>
            </w:r>
          </w:p>
        </w:tc>
        <w:tc>
          <w:tcPr>
            <w:tcW w:w="1560" w:type="dxa"/>
            <w:shd w:val="clear" w:color="auto" w:fill="FFFFFF"/>
            <w:vAlign w:val="center"/>
          </w:tcPr>
          <w:p w14:paraId="0E34785D" w14:textId="77777777" w:rsidR="00B15E63" w:rsidRDefault="0048770C">
            <w:pPr>
              <w:pStyle w:val="CETBodytext"/>
              <w:ind w:left="140" w:right="282"/>
              <w:jc w:val="left"/>
              <w:rPr>
                <w:lang w:val="es-CO"/>
              </w:rPr>
            </w:pPr>
            <w:r w:rsidRPr="00250FCC">
              <w:rPr>
                <w:lang w:val="en-GB"/>
              </w:rPr>
              <w:t>Fuel</w:t>
            </w:r>
          </w:p>
        </w:tc>
        <w:tc>
          <w:tcPr>
            <w:tcW w:w="2834" w:type="dxa"/>
            <w:gridSpan w:val="2"/>
            <w:shd w:val="clear" w:color="auto" w:fill="FFFFFF"/>
            <w:vAlign w:val="center"/>
          </w:tcPr>
          <w:p w14:paraId="0DFA34F8" w14:textId="77777777" w:rsidR="00B15E63" w:rsidRPr="00A36E00" w:rsidRDefault="0048770C">
            <w:pPr>
              <w:pStyle w:val="CETBodytext"/>
            </w:pPr>
            <w:r w:rsidRPr="00A36E00">
              <w:t>Combustion gases</w:t>
            </w:r>
            <w:r w:rsidR="00412E90" w:rsidRPr="00A36E00">
              <w:t xml:space="preserve">, </w:t>
            </w:r>
            <w:r w:rsidRPr="00A36E00">
              <w:t>leftover bags and damaged boxes</w:t>
            </w:r>
            <w:r w:rsidR="00412E90" w:rsidRPr="00A36E00">
              <w:t>.</w:t>
            </w:r>
          </w:p>
        </w:tc>
      </w:tr>
      <w:tr w:rsidR="00A37551" w:rsidRPr="0067390F" w14:paraId="321AE37B" w14:textId="77777777" w:rsidTr="0008170E">
        <w:tc>
          <w:tcPr>
            <w:tcW w:w="1418" w:type="dxa"/>
            <w:shd w:val="clear" w:color="auto" w:fill="FFFFFF"/>
            <w:vAlign w:val="center"/>
          </w:tcPr>
          <w:p w14:paraId="63EFCCA9" w14:textId="6A9E4781" w:rsidR="00B15E63" w:rsidRDefault="0048770C">
            <w:pPr>
              <w:pStyle w:val="CETBodytext"/>
              <w:rPr>
                <w:lang w:val="en-GB"/>
              </w:rPr>
            </w:pPr>
            <w:r w:rsidRPr="00250FCC">
              <w:rPr>
                <w:lang w:val="en-GB"/>
              </w:rPr>
              <w:t>US</w:t>
            </w:r>
            <w:r w:rsidR="000220E4">
              <w:rPr>
                <w:lang w:val="en-GB"/>
              </w:rPr>
              <w:t>E</w:t>
            </w:r>
          </w:p>
        </w:tc>
        <w:tc>
          <w:tcPr>
            <w:tcW w:w="3118" w:type="dxa"/>
            <w:shd w:val="clear" w:color="auto" w:fill="FFFFFF"/>
            <w:vAlign w:val="center"/>
          </w:tcPr>
          <w:p w14:paraId="018B6AE1" w14:textId="77777777" w:rsidR="00B15E63" w:rsidRPr="00A36E00" w:rsidRDefault="0048770C">
            <w:pPr>
              <w:pStyle w:val="CETBodytext"/>
              <w:ind w:left="140"/>
            </w:pPr>
            <w:r w:rsidRPr="00A36E00">
              <w:t>Advertising, printing of books, magazines, brochures</w:t>
            </w:r>
            <w:r w:rsidR="0008170E" w:rsidRPr="00A36E00">
              <w:t>.</w:t>
            </w:r>
          </w:p>
          <w:p w14:paraId="5C8FFA66" w14:textId="4ACF8CD9" w:rsidR="00B15E63" w:rsidRPr="00A36E00" w:rsidRDefault="0048770C">
            <w:pPr>
              <w:pStyle w:val="CETBodytext"/>
              <w:ind w:left="140"/>
            </w:pPr>
            <w:r w:rsidRPr="00A36E00">
              <w:br/>
              <w:t xml:space="preserve">Cleaning of equipment, </w:t>
            </w:r>
            <w:r w:rsidR="000220E4">
              <w:t>c</w:t>
            </w:r>
            <w:r w:rsidRPr="00A36E00">
              <w:t xml:space="preserve">leaning of printing plates, </w:t>
            </w:r>
            <w:r w:rsidR="000220E4">
              <w:t>d</w:t>
            </w:r>
            <w:r w:rsidRPr="00A36E00">
              <w:t>ies.</w:t>
            </w:r>
          </w:p>
        </w:tc>
        <w:tc>
          <w:tcPr>
            <w:tcW w:w="1560" w:type="dxa"/>
            <w:shd w:val="clear" w:color="auto" w:fill="FFFFFF"/>
            <w:vAlign w:val="center"/>
          </w:tcPr>
          <w:p w14:paraId="1A8611E5" w14:textId="77777777" w:rsidR="0008170E" w:rsidRPr="00A36E00" w:rsidRDefault="0008170E" w:rsidP="0001104D">
            <w:pPr>
              <w:pStyle w:val="CETBodytext"/>
              <w:ind w:left="140" w:right="427"/>
              <w:jc w:val="left"/>
            </w:pPr>
          </w:p>
          <w:p w14:paraId="24694048" w14:textId="77777777" w:rsidR="00B15E63" w:rsidRDefault="0048770C">
            <w:pPr>
              <w:pStyle w:val="CETBodytext"/>
              <w:ind w:left="140" w:right="427"/>
              <w:jc w:val="left"/>
              <w:rPr>
                <w:lang w:val="es-CO"/>
              </w:rPr>
            </w:pPr>
            <w:r w:rsidRPr="00250FCC">
              <w:rPr>
                <w:lang w:val="en-GB"/>
              </w:rPr>
              <w:t>Electricity</w:t>
            </w:r>
          </w:p>
        </w:tc>
        <w:tc>
          <w:tcPr>
            <w:tcW w:w="2834" w:type="dxa"/>
            <w:gridSpan w:val="2"/>
            <w:shd w:val="clear" w:color="auto" w:fill="FFFFFF"/>
            <w:vAlign w:val="center"/>
          </w:tcPr>
          <w:p w14:paraId="74D3C592" w14:textId="77777777" w:rsidR="0008170E" w:rsidRPr="00A36E00" w:rsidRDefault="0008170E" w:rsidP="00412E90">
            <w:pPr>
              <w:pStyle w:val="CETBodytext"/>
            </w:pPr>
          </w:p>
          <w:p w14:paraId="7B4F73D0" w14:textId="77777777" w:rsidR="00B15E63" w:rsidRPr="00A36E00" w:rsidRDefault="0048770C">
            <w:pPr>
              <w:pStyle w:val="CETBodytext"/>
            </w:pPr>
            <w:r w:rsidRPr="00A36E00">
              <w:t>Hazardous liquid and solid waste</w:t>
            </w:r>
            <w:r w:rsidR="0008170E" w:rsidRPr="00A36E00">
              <w:t>.</w:t>
            </w:r>
          </w:p>
        </w:tc>
      </w:tr>
      <w:tr w:rsidR="00A37551" w:rsidRPr="0067390F" w14:paraId="24F22AEA" w14:textId="77777777" w:rsidTr="0008170E">
        <w:trPr>
          <w:gridAfter w:val="1"/>
          <w:wAfter w:w="141" w:type="dxa"/>
        </w:trPr>
        <w:tc>
          <w:tcPr>
            <w:tcW w:w="1418" w:type="dxa"/>
            <w:shd w:val="clear" w:color="auto" w:fill="FFFFFF"/>
            <w:vAlign w:val="center"/>
          </w:tcPr>
          <w:p w14:paraId="4C95B555" w14:textId="77777777" w:rsidR="00B15E63" w:rsidRDefault="0048770C">
            <w:pPr>
              <w:pStyle w:val="CETBodytext"/>
              <w:ind w:right="-1"/>
              <w:rPr>
                <w:lang w:val="en-GB"/>
              </w:rPr>
            </w:pPr>
            <w:r w:rsidRPr="00250FCC">
              <w:rPr>
                <w:lang w:val="en-GB"/>
              </w:rPr>
              <w:t>END OF LIFE</w:t>
            </w:r>
          </w:p>
        </w:tc>
        <w:tc>
          <w:tcPr>
            <w:tcW w:w="3118" w:type="dxa"/>
            <w:shd w:val="clear" w:color="auto" w:fill="FFFFFF"/>
            <w:vAlign w:val="center"/>
          </w:tcPr>
          <w:p w14:paraId="265A5AF1" w14:textId="77777777" w:rsidR="00B15E63" w:rsidRPr="00A36E00" w:rsidRDefault="0048770C">
            <w:pPr>
              <w:pStyle w:val="CETBodytext"/>
              <w:ind w:left="140" w:right="-1"/>
              <w:rPr>
                <w:rFonts w:cs="Arial"/>
                <w:szCs w:val="18"/>
              </w:rPr>
            </w:pPr>
            <w:r w:rsidRPr="00A36E00">
              <w:br/>
              <w:t>Internal management of usable, ordinary and hazardous waste together with external managers.</w:t>
            </w:r>
          </w:p>
        </w:tc>
        <w:tc>
          <w:tcPr>
            <w:tcW w:w="1560" w:type="dxa"/>
            <w:shd w:val="clear" w:color="auto" w:fill="FFFFFF"/>
            <w:vAlign w:val="center"/>
          </w:tcPr>
          <w:p w14:paraId="735F99F4" w14:textId="77777777" w:rsidR="00B15E63" w:rsidRDefault="0048770C">
            <w:pPr>
              <w:pStyle w:val="CETBodytext"/>
              <w:ind w:left="140" w:right="-1"/>
              <w:jc w:val="left"/>
              <w:rPr>
                <w:rFonts w:cs="Arial"/>
                <w:szCs w:val="18"/>
                <w:lang w:val="es-CO"/>
              </w:rPr>
            </w:pPr>
            <w:r w:rsidRPr="00250FCC">
              <w:rPr>
                <w:lang w:val="en-GB"/>
              </w:rPr>
              <w:t>Electricity</w:t>
            </w:r>
          </w:p>
        </w:tc>
        <w:tc>
          <w:tcPr>
            <w:tcW w:w="2693" w:type="dxa"/>
            <w:shd w:val="clear" w:color="auto" w:fill="FFFFFF"/>
            <w:vAlign w:val="center"/>
          </w:tcPr>
          <w:p w14:paraId="35A20DA4" w14:textId="77777777" w:rsidR="00B15E63" w:rsidRPr="00A36E00" w:rsidRDefault="0048770C">
            <w:pPr>
              <w:pStyle w:val="CETBodytext"/>
              <w:ind w:right="-1"/>
              <w:rPr>
                <w:rFonts w:cs="Arial"/>
                <w:szCs w:val="18"/>
              </w:rPr>
            </w:pPr>
            <w:r w:rsidRPr="00A36E00">
              <w:t xml:space="preserve">Final </w:t>
            </w:r>
            <w:r w:rsidR="0008170E" w:rsidRPr="00A36E00">
              <w:t xml:space="preserve">waste disposal, </w:t>
            </w:r>
            <w:r w:rsidRPr="00A36E00">
              <w:t>incineration of solid waste, liquid waste</w:t>
            </w:r>
            <w:r w:rsidR="0008170E" w:rsidRPr="00A36E00">
              <w:t xml:space="preserve">. </w:t>
            </w:r>
          </w:p>
        </w:tc>
      </w:tr>
    </w:tbl>
    <w:p w14:paraId="37A78754" w14:textId="175B4BE8" w:rsidR="00B15E63" w:rsidRPr="000B2C01" w:rsidRDefault="001E2C29" w:rsidP="001E2C29">
      <w:pPr>
        <w:pStyle w:val="CETheadingx"/>
        <w:rPr>
          <w:lang w:val="en-US"/>
        </w:rPr>
      </w:pPr>
      <w:r w:rsidRPr="000B2C01">
        <w:rPr>
          <w:lang w:val="en-US"/>
        </w:rPr>
        <w:t>3</w:t>
      </w:r>
      <w:r w:rsidR="0048770C" w:rsidRPr="000B2C01">
        <w:rPr>
          <w:lang w:val="en-US"/>
        </w:rPr>
        <w:t>.2 Flow chart</w:t>
      </w:r>
    </w:p>
    <w:p w14:paraId="30FF5FEF" w14:textId="601C5F17" w:rsidR="00B15E63" w:rsidRDefault="00C736D4">
      <w:pPr>
        <w:pStyle w:val="CETBodytext"/>
      </w:pPr>
      <w:r w:rsidRPr="00C736D4">
        <w:t>The companies studied have a logical flow diagram appropriate to the process. However, they do not have time or decision-making arrangements, and waste and emissions are not included in the process. For example, figure 1 shows the flow diagram of a graphic arts company.</w:t>
      </w:r>
    </w:p>
    <w:p w14:paraId="0F9B953A" w14:textId="77777777" w:rsidR="0075363D" w:rsidRPr="000B2C01" w:rsidRDefault="0075363D" w:rsidP="0075363D">
      <w:pPr>
        <w:pStyle w:val="CETheadingx"/>
        <w:rPr>
          <w:lang w:val="en-US"/>
        </w:rPr>
      </w:pPr>
      <w:r w:rsidRPr="000B2C01">
        <w:rPr>
          <w:lang w:val="en-US"/>
        </w:rPr>
        <w:t>3.3 Eco balance</w:t>
      </w:r>
    </w:p>
    <w:p w14:paraId="5EB89A00" w14:textId="77777777" w:rsidR="0075363D" w:rsidRPr="00A36E00" w:rsidRDefault="0075363D" w:rsidP="0075363D">
      <w:pPr>
        <w:pStyle w:val="CETBodytext"/>
      </w:pPr>
      <w:r w:rsidRPr="00C736D4">
        <w:t>Energy consumption is essential for these companies. Therefore, their maximum cost lies in this, as the machinery and equipment use energy to carry out their production process. Figure 2 shows the general Eco balance of the production process in the lithographic industries studied.</w:t>
      </w:r>
    </w:p>
    <w:p w14:paraId="50101310" w14:textId="77777777" w:rsidR="00B15E63" w:rsidRPr="00A36E00" w:rsidRDefault="0048770C">
      <w:pPr>
        <w:spacing w:line="240" w:lineRule="auto"/>
        <w:rPr>
          <w:lang w:val="en-US"/>
        </w:rPr>
      </w:pPr>
      <w:r w:rsidRPr="00BD3070">
        <w:rPr>
          <w:rFonts w:cstheme="minorHAnsi"/>
          <w:noProof/>
        </w:rPr>
        <w:lastRenderedPageBreak/>
        <w:drawing>
          <wp:anchor distT="0" distB="0" distL="114300" distR="114300" simplePos="0" relativeHeight="251659264" behindDoc="1" locked="0" layoutInCell="1" allowOverlap="1" wp14:anchorId="59DA3D16" wp14:editId="514DB78F">
            <wp:simplePos x="0" y="0"/>
            <wp:positionH relativeFrom="page">
              <wp:posOffset>1812925</wp:posOffset>
            </wp:positionH>
            <wp:positionV relativeFrom="paragraph">
              <wp:posOffset>0</wp:posOffset>
            </wp:positionV>
            <wp:extent cx="4633595" cy="3028315"/>
            <wp:effectExtent l="0" t="0" r="0" b="635"/>
            <wp:wrapTight wrapText="bothSides">
              <wp:wrapPolygon edited="0">
                <wp:start x="0" y="0"/>
                <wp:lineTo x="0" y="21469"/>
                <wp:lineTo x="21490" y="21469"/>
                <wp:lineTo x="21490" y="0"/>
                <wp:lineTo x="0" y="0"/>
              </wp:wrapPolygon>
            </wp:wrapTigh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3595" cy="3028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83258" w14:textId="77777777" w:rsidR="00C40622" w:rsidRPr="00A36E00" w:rsidRDefault="00C40622" w:rsidP="00031BDA">
      <w:pPr>
        <w:pStyle w:val="CETBodytext"/>
      </w:pPr>
    </w:p>
    <w:p w14:paraId="1C70122B" w14:textId="77777777" w:rsidR="00C40622" w:rsidRPr="00A36E00" w:rsidRDefault="00C40622" w:rsidP="00031BDA">
      <w:pPr>
        <w:pStyle w:val="CETBodytext"/>
      </w:pPr>
    </w:p>
    <w:p w14:paraId="1275B7F1" w14:textId="77777777" w:rsidR="00C40622" w:rsidRPr="00A36E00" w:rsidRDefault="00C40622" w:rsidP="00031BDA">
      <w:pPr>
        <w:pStyle w:val="CETBodytext"/>
      </w:pPr>
    </w:p>
    <w:p w14:paraId="491E547E" w14:textId="77777777" w:rsidR="00C40622" w:rsidRPr="00A36E00" w:rsidRDefault="00C40622" w:rsidP="00031BDA">
      <w:pPr>
        <w:pStyle w:val="CETBodytext"/>
      </w:pPr>
    </w:p>
    <w:p w14:paraId="2B9C4B9A" w14:textId="77777777" w:rsidR="00C40622" w:rsidRPr="00A36E00" w:rsidRDefault="00C40622" w:rsidP="00031BDA">
      <w:pPr>
        <w:pStyle w:val="CETBodytext"/>
      </w:pPr>
    </w:p>
    <w:p w14:paraId="260D2704" w14:textId="77777777" w:rsidR="00C40622" w:rsidRPr="00A36E00" w:rsidRDefault="00C40622" w:rsidP="00031BDA">
      <w:pPr>
        <w:pStyle w:val="CETBodytext"/>
      </w:pPr>
    </w:p>
    <w:p w14:paraId="619E96A6" w14:textId="77777777" w:rsidR="00C40622" w:rsidRPr="00A36E00" w:rsidRDefault="00C40622" w:rsidP="00031BDA">
      <w:pPr>
        <w:pStyle w:val="CETBodytext"/>
      </w:pPr>
    </w:p>
    <w:p w14:paraId="1C06421D" w14:textId="77777777" w:rsidR="00C40622" w:rsidRPr="00A36E00" w:rsidRDefault="00C40622" w:rsidP="00031BDA">
      <w:pPr>
        <w:pStyle w:val="CETBodytext"/>
      </w:pPr>
    </w:p>
    <w:p w14:paraId="372303EA" w14:textId="77777777" w:rsidR="00C40622" w:rsidRPr="00A36E00" w:rsidRDefault="00C40622" w:rsidP="00031BDA">
      <w:pPr>
        <w:pStyle w:val="CETBodytext"/>
      </w:pPr>
    </w:p>
    <w:p w14:paraId="5559F662" w14:textId="77777777" w:rsidR="00C40622" w:rsidRPr="00A36E00" w:rsidRDefault="00C40622" w:rsidP="00031BDA">
      <w:pPr>
        <w:pStyle w:val="CETBodytext"/>
      </w:pPr>
    </w:p>
    <w:p w14:paraId="774DE74A" w14:textId="77777777" w:rsidR="00C40622" w:rsidRPr="00A36E00" w:rsidRDefault="00C40622" w:rsidP="00031BDA">
      <w:pPr>
        <w:pStyle w:val="CETBodytext"/>
      </w:pPr>
    </w:p>
    <w:p w14:paraId="02AEEBFC" w14:textId="77777777" w:rsidR="00C40622" w:rsidRPr="00A36E00" w:rsidRDefault="00C40622" w:rsidP="00031BDA">
      <w:pPr>
        <w:pStyle w:val="CETBodytext"/>
      </w:pPr>
    </w:p>
    <w:p w14:paraId="0B9FDDD2" w14:textId="77777777" w:rsidR="00C40622" w:rsidRPr="00A36E00" w:rsidRDefault="00C40622" w:rsidP="00031BDA">
      <w:pPr>
        <w:pStyle w:val="CETBodytext"/>
      </w:pPr>
    </w:p>
    <w:p w14:paraId="0F0D6868" w14:textId="77777777" w:rsidR="00C40622" w:rsidRPr="00A36E00" w:rsidRDefault="00C40622" w:rsidP="00031BDA">
      <w:pPr>
        <w:pStyle w:val="CETBodytext"/>
      </w:pPr>
    </w:p>
    <w:p w14:paraId="106B2136" w14:textId="77777777" w:rsidR="00C40622" w:rsidRPr="00A36E00" w:rsidRDefault="00C40622" w:rsidP="00031BDA">
      <w:pPr>
        <w:pStyle w:val="CETBodytext"/>
      </w:pPr>
    </w:p>
    <w:p w14:paraId="78E5CB20" w14:textId="77777777" w:rsidR="00C40622" w:rsidRPr="00A36E00" w:rsidRDefault="00C40622" w:rsidP="00031BDA">
      <w:pPr>
        <w:pStyle w:val="CETBodytext"/>
      </w:pPr>
    </w:p>
    <w:p w14:paraId="22AE7D28" w14:textId="77777777" w:rsidR="00C40622" w:rsidRPr="00A36E00" w:rsidRDefault="00C40622" w:rsidP="00031BDA">
      <w:pPr>
        <w:pStyle w:val="CETBodytext"/>
      </w:pPr>
    </w:p>
    <w:p w14:paraId="1B042068" w14:textId="77777777" w:rsidR="001736A1" w:rsidRPr="00A36E00" w:rsidRDefault="001736A1" w:rsidP="00031BDA">
      <w:pPr>
        <w:pStyle w:val="CETBodytext"/>
        <w:rPr>
          <w:rStyle w:val="CETCaptionCarattere"/>
          <w:lang w:val="en-US"/>
        </w:rPr>
      </w:pPr>
    </w:p>
    <w:p w14:paraId="738AD112" w14:textId="77777777" w:rsidR="009131AE" w:rsidRDefault="009131AE">
      <w:pPr>
        <w:pStyle w:val="CETBodytext"/>
        <w:rPr>
          <w:rStyle w:val="CETCaptionCarattere"/>
          <w:lang w:val="en-US"/>
        </w:rPr>
      </w:pPr>
    </w:p>
    <w:p w14:paraId="4CCCCB1B" w14:textId="77777777" w:rsidR="00EE78AD" w:rsidRDefault="00EE78AD">
      <w:pPr>
        <w:pStyle w:val="CETBodytext"/>
        <w:rPr>
          <w:rStyle w:val="CETCaptionCarattere"/>
          <w:lang w:val="en-US"/>
        </w:rPr>
      </w:pPr>
    </w:p>
    <w:p w14:paraId="085BE417" w14:textId="2D87C63D" w:rsidR="00B15E63" w:rsidRPr="00A36E00" w:rsidRDefault="0048770C">
      <w:pPr>
        <w:pStyle w:val="CETBodytext"/>
      </w:pPr>
      <w:r w:rsidRPr="00A36E00">
        <w:rPr>
          <w:rStyle w:val="CETCaptionCarattere"/>
          <w:lang w:val="en-US"/>
        </w:rPr>
        <w:t>Figure 1: Flow chart of a lithographic industry company</w:t>
      </w:r>
    </w:p>
    <w:p w14:paraId="1E1D3F1F" w14:textId="77777777" w:rsidR="00806930" w:rsidRDefault="00806930" w:rsidP="0001104D">
      <w:pPr>
        <w:pStyle w:val="CETBodytext"/>
        <w:jc w:val="center"/>
        <w:rPr>
          <w:lang w:val="es-CO"/>
        </w:rPr>
      </w:pPr>
      <w:r w:rsidRPr="00BD3070">
        <w:rPr>
          <w:rFonts w:cstheme="minorHAnsi"/>
          <w:noProof/>
        </w:rPr>
        <w:drawing>
          <wp:inline distT="0" distB="0" distL="0" distR="0" wp14:anchorId="0657F71F" wp14:editId="1A71045C">
            <wp:extent cx="5619750" cy="1939796"/>
            <wp:effectExtent l="0" t="0" r="0" b="381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5756" cy="1955676"/>
                    </a:xfrm>
                    <a:prstGeom prst="rect">
                      <a:avLst/>
                    </a:prstGeom>
                    <a:noFill/>
                    <a:ln>
                      <a:noFill/>
                    </a:ln>
                  </pic:spPr>
                </pic:pic>
              </a:graphicData>
            </a:graphic>
          </wp:inline>
        </w:drawing>
      </w:r>
    </w:p>
    <w:p w14:paraId="630B568F" w14:textId="77777777" w:rsidR="00B15E63" w:rsidRPr="00A36E00" w:rsidRDefault="0048770C">
      <w:pPr>
        <w:pStyle w:val="CETBodytext"/>
      </w:pPr>
      <w:r w:rsidRPr="00A36E00">
        <w:rPr>
          <w:rStyle w:val="CETCaptionCarattere"/>
          <w:lang w:val="en-US"/>
        </w:rPr>
        <w:t xml:space="preserve">Figure 2: </w:t>
      </w:r>
      <w:proofErr w:type="spellStart"/>
      <w:r w:rsidRPr="00A36E00">
        <w:rPr>
          <w:rStyle w:val="CETCaptionCarattere"/>
          <w:lang w:val="en-US"/>
        </w:rPr>
        <w:t>Ecobalance</w:t>
      </w:r>
      <w:proofErr w:type="spellEnd"/>
      <w:r w:rsidRPr="00A36E00">
        <w:rPr>
          <w:rStyle w:val="CETCaptionCarattere"/>
          <w:lang w:val="en-US"/>
        </w:rPr>
        <w:t xml:space="preserve"> sheet lithographic sector company</w:t>
      </w:r>
    </w:p>
    <w:p w14:paraId="4504A509" w14:textId="14AFB2CC" w:rsidR="00B15E63" w:rsidRPr="000B2C01" w:rsidRDefault="001E2C29" w:rsidP="001E2C29">
      <w:pPr>
        <w:pStyle w:val="CETheadingx"/>
        <w:rPr>
          <w:lang w:val="en-US"/>
        </w:rPr>
      </w:pPr>
      <w:r w:rsidRPr="000B2C01">
        <w:rPr>
          <w:lang w:val="en-US"/>
        </w:rPr>
        <w:t>3</w:t>
      </w:r>
      <w:r w:rsidR="0048770C" w:rsidRPr="000B2C01">
        <w:rPr>
          <w:lang w:val="en-US"/>
        </w:rPr>
        <w:t xml:space="preserve">.4 Assessment of the environmental impacts of </w:t>
      </w:r>
      <w:r w:rsidR="001736A1" w:rsidRPr="000B2C01">
        <w:rPr>
          <w:lang w:val="en-US"/>
        </w:rPr>
        <w:t xml:space="preserve">companies </w:t>
      </w:r>
      <w:r w:rsidR="0048770C" w:rsidRPr="000B2C01">
        <w:rPr>
          <w:lang w:val="en-US"/>
        </w:rPr>
        <w:t>in the Lithographic sector</w:t>
      </w:r>
    </w:p>
    <w:p w14:paraId="419036E2" w14:textId="5DED6A6E" w:rsidR="00FF157E" w:rsidRDefault="00C736D4" w:rsidP="00FF157E">
      <w:pPr>
        <w:pStyle w:val="CETBodytext"/>
      </w:pPr>
      <w:r w:rsidRPr="00735636">
        <w:t>At this stage, we used the methodology promoted by the District Secretary of the Environment of Bogotá D.C., which relates frequency, probability, quantity, hazardousness, scope, reversibility, public sensitivity, applicable legislation, and severity to determine the prioritization ranges of environmental impacts. Figure 3 summarizes the results found for the identified environmental aspects.</w:t>
      </w:r>
      <w:r w:rsidR="002A5389" w:rsidRPr="00735636">
        <w:t xml:space="preserve"> </w:t>
      </w:r>
      <w:r w:rsidR="002A5389" w:rsidRPr="000B2C01">
        <w:t>Histogram colors indicate: Red: highly significant, Blue: moderately significant, Green: 11% low significance.</w:t>
      </w:r>
    </w:p>
    <w:p w14:paraId="17180048" w14:textId="77777777" w:rsidR="00C736D4" w:rsidRPr="00A36E00" w:rsidRDefault="00C736D4" w:rsidP="00FF157E">
      <w:pPr>
        <w:pStyle w:val="CETBodytext"/>
      </w:pPr>
    </w:p>
    <w:p w14:paraId="54964D19" w14:textId="77777777" w:rsidR="00806930" w:rsidRPr="00C40622" w:rsidRDefault="00806930" w:rsidP="0001104D">
      <w:pPr>
        <w:pStyle w:val="CETBodytext"/>
        <w:jc w:val="center"/>
        <w:rPr>
          <w:lang w:val="es-CO"/>
        </w:rPr>
      </w:pPr>
      <w:r w:rsidRPr="00BD3070">
        <w:rPr>
          <w:rFonts w:cstheme="minorHAnsi"/>
          <w:noProof/>
        </w:rPr>
        <w:drawing>
          <wp:inline distT="0" distB="0" distL="0" distR="0" wp14:anchorId="37B5D98F" wp14:editId="0C950501">
            <wp:extent cx="5573395" cy="1503680"/>
            <wp:effectExtent l="0" t="0" r="8255" b="1270"/>
            <wp:docPr id="3" name="Gráfico 3">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189F7C" w14:textId="77777777" w:rsidR="00B15E63" w:rsidRPr="00A36E00" w:rsidRDefault="0048770C">
      <w:pPr>
        <w:pStyle w:val="CETBodytext"/>
      </w:pPr>
      <w:r w:rsidRPr="00A36E00">
        <w:rPr>
          <w:rStyle w:val="CETCaptionCarattere"/>
          <w:lang w:val="en-US"/>
        </w:rPr>
        <w:t>Figure 3: Environmental Impact Assessment of the lithographic sector</w:t>
      </w:r>
    </w:p>
    <w:p w14:paraId="13B0B8A0" w14:textId="7DA79AF4" w:rsidR="000C4644" w:rsidRDefault="000C4644">
      <w:pPr>
        <w:pStyle w:val="CETBodytext"/>
      </w:pPr>
    </w:p>
    <w:p w14:paraId="21F071C3" w14:textId="3D60891D" w:rsidR="000C4644" w:rsidRDefault="000C4644">
      <w:pPr>
        <w:pStyle w:val="CETBodytext"/>
      </w:pPr>
      <w:r w:rsidRPr="000C4644">
        <w:t xml:space="preserve">The hazardous liquid waste, like metals, inks, wastewater mixed with chemicals, alcohols, fixatives, hazardous solid waste, atmospheric emissions, and energy consumption, is the most significant environmental impacts </w:t>
      </w:r>
      <w:r w:rsidRPr="000C4644">
        <w:lastRenderedPageBreak/>
        <w:t>according to the assessment carried out, within the medium range of impact are used film waste, liquid and solid waste (mixed), packaging, recyclable waste, dirty rags, and used plates, books, diaries, calendars, posters, noise generation. In 16 environmental aspects assessed, 46% are highly significant, 43% are moderately significant, and 11% are of low significance.</w:t>
      </w:r>
    </w:p>
    <w:p w14:paraId="0CB73962" w14:textId="336B0670" w:rsidR="00B15E63" w:rsidRPr="000B2C01" w:rsidRDefault="001E2C29" w:rsidP="001E2C29">
      <w:pPr>
        <w:pStyle w:val="CETheadingx"/>
        <w:rPr>
          <w:lang w:val="en-US"/>
        </w:rPr>
      </w:pPr>
      <w:r w:rsidRPr="000B2C01">
        <w:rPr>
          <w:lang w:val="en-US"/>
        </w:rPr>
        <w:t>3</w:t>
      </w:r>
      <w:r w:rsidR="0048770C" w:rsidRPr="000B2C01">
        <w:rPr>
          <w:lang w:val="en-US"/>
        </w:rPr>
        <w:t xml:space="preserve">.5 </w:t>
      </w:r>
      <w:r w:rsidR="00EE46BA" w:rsidRPr="000B2C01">
        <w:rPr>
          <w:lang w:val="en-US"/>
        </w:rPr>
        <w:t>Quality tool Failure Mode and Effect Analysis (FMEA)</w:t>
      </w:r>
    </w:p>
    <w:p w14:paraId="4F51AA28" w14:textId="44C3514E" w:rsidR="000D3C4F" w:rsidRDefault="000C4644" w:rsidP="00EE46BA">
      <w:pPr>
        <w:pStyle w:val="CETBodytext"/>
      </w:pPr>
      <w:r w:rsidRPr="000C4644">
        <w:t>FMEA is a widely used tool in planning, as it is a systematic method that allows the evaluation of deficiencies derived from the inadequate operation of a service, assessing the processes, and identifying where they could fail and thus estimating their impact, to determine the parts of the process that must be modified to prevent errors that generate more significant problems. (Vasquez et al., 2017)</w:t>
      </w:r>
    </w:p>
    <w:p w14:paraId="04CBA7F4" w14:textId="77777777" w:rsidR="000C4644" w:rsidRPr="00EE46BA" w:rsidRDefault="000C4644" w:rsidP="00EE46BA">
      <w:pPr>
        <w:pStyle w:val="CETBodytext"/>
        <w:rPr>
          <w:lang w:val="es-CO"/>
        </w:rPr>
      </w:pPr>
    </w:p>
    <w:p w14:paraId="0AF9AA8F" w14:textId="77777777" w:rsidR="004D55C0" w:rsidRPr="004D55C0" w:rsidRDefault="000D3C4F" w:rsidP="00F44107">
      <w:pPr>
        <w:pStyle w:val="CETBodytext"/>
        <w:jc w:val="center"/>
        <w:rPr>
          <w:rStyle w:val="CETCaptionCarattere"/>
          <w:i w:val="0"/>
          <w:lang w:val="es-CO"/>
        </w:rPr>
      </w:pPr>
      <w:r>
        <w:rPr>
          <w:noProof/>
        </w:rPr>
        <w:drawing>
          <wp:inline distT="0" distB="0" distL="0" distR="0" wp14:anchorId="7205CFFC" wp14:editId="5335FA2B">
            <wp:extent cx="5518150" cy="2247900"/>
            <wp:effectExtent l="0" t="0" r="6350" b="0"/>
            <wp:docPr id="1" name="Gráfico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10E440" w14:textId="3311B739" w:rsidR="00B15E63" w:rsidRPr="00A36E00" w:rsidRDefault="0048770C">
      <w:pPr>
        <w:pStyle w:val="CETBodytext"/>
      </w:pPr>
      <w:r w:rsidRPr="00A36E00">
        <w:rPr>
          <w:rStyle w:val="CETCaptionCarattere"/>
          <w:lang w:val="en-US"/>
        </w:rPr>
        <w:t xml:space="preserve">Figure </w:t>
      </w:r>
      <w:r w:rsidR="002A5389">
        <w:rPr>
          <w:rStyle w:val="CETCaptionCarattere"/>
          <w:lang w:val="en-US"/>
        </w:rPr>
        <w:t>4</w:t>
      </w:r>
      <w:r w:rsidRPr="00A36E00">
        <w:rPr>
          <w:rStyle w:val="CETCaptionCarattere"/>
          <w:lang w:val="en-US"/>
        </w:rPr>
        <w:t xml:space="preserve">: </w:t>
      </w:r>
      <w:r w:rsidR="00806930" w:rsidRPr="00A36E00">
        <w:rPr>
          <w:rStyle w:val="CETCaptionCarattere"/>
          <w:lang w:val="en-US"/>
        </w:rPr>
        <w:t>FMEA Matrix Histogram</w:t>
      </w:r>
    </w:p>
    <w:p w14:paraId="4E113CD9" w14:textId="77777777" w:rsidR="00EE46BA" w:rsidRPr="00A36E00" w:rsidRDefault="00EE46BA" w:rsidP="00EE46BA">
      <w:pPr>
        <w:pStyle w:val="CETBodytext"/>
      </w:pPr>
    </w:p>
    <w:p w14:paraId="223B0805" w14:textId="77777777" w:rsidR="00A21E7F" w:rsidRDefault="00A21E7F" w:rsidP="00A21E7F">
      <w:pPr>
        <w:pStyle w:val="CETBodytext"/>
      </w:pPr>
      <w:r>
        <w:t>Considering that through the FMEA, it is possible to achieve an integral perspective of the process, the application of this tool promotes continuous quality improvement as it allows the identification of the parts of the process in which failures are being committed to analyzing their causes in searching alternatives for improvement implementation (Rojas, 2019). Furthermore, the above uses staff capacity and active participation, and the accurate collection of information (García, 2015).</w:t>
      </w:r>
    </w:p>
    <w:p w14:paraId="4DAF6E66" w14:textId="77777777" w:rsidR="00A21E7F" w:rsidRDefault="00A21E7F" w:rsidP="00A21E7F">
      <w:pPr>
        <w:pStyle w:val="CETBodytext"/>
      </w:pPr>
      <w:r>
        <w:t xml:space="preserve"> </w:t>
      </w:r>
    </w:p>
    <w:p w14:paraId="5E2B1CF0" w14:textId="77777777" w:rsidR="00A21E7F" w:rsidRDefault="00A21E7F" w:rsidP="00A21E7F">
      <w:pPr>
        <w:pStyle w:val="CETBodytext"/>
      </w:pPr>
      <w:r>
        <w:t xml:space="preserve">Figure 4 summarizes the FMEA matrix performed; a quality tool applied to the environmental aspect in one of the lithographic companies analyzed. The analysis consists of grouping the sum of the Risk Priority Levels - RPL for each effect, considering the calculations of failure modes and the probability of occurrence, the severity of the failure, and the non-detection probability. </w:t>
      </w:r>
    </w:p>
    <w:p w14:paraId="370213E1" w14:textId="77777777" w:rsidR="00A21E7F" w:rsidRDefault="00A21E7F" w:rsidP="00A21E7F">
      <w:pPr>
        <w:pStyle w:val="CETBodytext"/>
      </w:pPr>
      <w:r>
        <w:t xml:space="preserve"> </w:t>
      </w:r>
    </w:p>
    <w:p w14:paraId="65C17FC5" w14:textId="77777777" w:rsidR="00A21E7F" w:rsidRDefault="00A21E7F" w:rsidP="00A21E7F">
      <w:pPr>
        <w:pStyle w:val="CETBodytext"/>
      </w:pPr>
      <w:r>
        <w:t>Finally, using the results, it was possible to propose measures to control failures and effects. The first measure suggested were:</w:t>
      </w:r>
    </w:p>
    <w:p w14:paraId="4B4F8B06" w14:textId="77777777" w:rsidR="00A21E7F" w:rsidRDefault="00A21E7F" w:rsidP="00A21E7F">
      <w:pPr>
        <w:pStyle w:val="CETBodytext"/>
      </w:pPr>
      <w:r>
        <w:t>- The use of biodegradable solvents.</w:t>
      </w:r>
    </w:p>
    <w:p w14:paraId="45953295" w14:textId="77777777" w:rsidR="00A21E7F" w:rsidRDefault="00A21E7F" w:rsidP="00A21E7F">
      <w:pPr>
        <w:pStyle w:val="CETBodytext"/>
      </w:pPr>
      <w:r>
        <w:t>- Energy and water-saving due to efficient use programs.</w:t>
      </w:r>
    </w:p>
    <w:p w14:paraId="07C249F6" w14:textId="77777777" w:rsidR="00A21E7F" w:rsidRDefault="00A21E7F" w:rsidP="00A21E7F">
      <w:pPr>
        <w:pStyle w:val="CETBodytext"/>
      </w:pPr>
      <w:r>
        <w:t>- Solid waste management program.</w:t>
      </w:r>
    </w:p>
    <w:p w14:paraId="439C0EF3" w14:textId="77777777" w:rsidR="00A21E7F" w:rsidRDefault="00A21E7F" w:rsidP="00A21E7F">
      <w:pPr>
        <w:pStyle w:val="CETBodytext"/>
      </w:pPr>
      <w:r>
        <w:t>- Circular economy.</w:t>
      </w:r>
    </w:p>
    <w:p w14:paraId="54F65D0A" w14:textId="77777777" w:rsidR="00A21E7F" w:rsidRDefault="00A21E7F" w:rsidP="00A21E7F">
      <w:pPr>
        <w:pStyle w:val="CETBodytext"/>
      </w:pPr>
      <w:r>
        <w:t>- Implementing a wastewater treatment plant.</w:t>
      </w:r>
    </w:p>
    <w:p w14:paraId="0A5C1D88" w14:textId="77777777" w:rsidR="00A21E7F" w:rsidRDefault="00A21E7F" w:rsidP="00A21E7F">
      <w:pPr>
        <w:pStyle w:val="CETBodytext"/>
      </w:pPr>
      <w:r>
        <w:t>- Installation of the rainwater collection system.</w:t>
      </w:r>
    </w:p>
    <w:p w14:paraId="0AE5962B" w14:textId="77777777" w:rsidR="00A21E7F" w:rsidRDefault="00A21E7F" w:rsidP="00A21E7F">
      <w:pPr>
        <w:pStyle w:val="CETBodytext"/>
      </w:pPr>
      <w:r>
        <w:t>- Replacing raw materials with eco-friendly ones.</w:t>
      </w:r>
    </w:p>
    <w:p w14:paraId="24BEA619" w14:textId="77777777" w:rsidR="00A21E7F" w:rsidRDefault="00A21E7F" w:rsidP="00A21E7F">
      <w:pPr>
        <w:pStyle w:val="CETBodytext"/>
      </w:pPr>
      <w:r>
        <w:t>- Using personal protective equipment.</w:t>
      </w:r>
    </w:p>
    <w:p w14:paraId="333A59C6" w14:textId="6266FDEB" w:rsidR="00004B5F" w:rsidRDefault="00A21E7F" w:rsidP="00A21E7F">
      <w:pPr>
        <w:pStyle w:val="CETBodytext"/>
      </w:pPr>
      <w:r>
        <w:t xml:space="preserve">- Carrying out corrective maintenance on machines to control noise. </w:t>
      </w:r>
    </w:p>
    <w:p w14:paraId="7B5E5A91" w14:textId="77777777" w:rsidR="00004B5F" w:rsidRDefault="00004B5F" w:rsidP="00FC5D16">
      <w:pPr>
        <w:pStyle w:val="CETBodytext"/>
      </w:pPr>
    </w:p>
    <w:p w14:paraId="75A816BE" w14:textId="77777777" w:rsidR="00B15E63" w:rsidRPr="000B2C01" w:rsidRDefault="0048770C" w:rsidP="001E2C29">
      <w:pPr>
        <w:pStyle w:val="CETheadingx"/>
        <w:rPr>
          <w:lang w:val="en-US"/>
        </w:rPr>
      </w:pPr>
      <w:r w:rsidRPr="000B2C01">
        <w:rPr>
          <w:lang w:val="en-US"/>
        </w:rPr>
        <w:t>4. Conclusions</w:t>
      </w:r>
    </w:p>
    <w:p w14:paraId="0D2CF630" w14:textId="77777777" w:rsidR="00007E08" w:rsidRDefault="00007E08" w:rsidP="009131AE">
      <w:pPr>
        <w:pStyle w:val="CETBodytext"/>
      </w:pPr>
      <w:r>
        <w:t xml:space="preserve">During the manufacturing process of the products, approximately 21.33 kg of toxic waste is generated monthly. </w:t>
      </w:r>
    </w:p>
    <w:p w14:paraId="4C7D6D09" w14:textId="3B26F04E" w:rsidR="00B15E63" w:rsidRPr="00A36E00" w:rsidRDefault="00007E08" w:rsidP="009131AE">
      <w:pPr>
        <w:pStyle w:val="CETBodytext"/>
      </w:pPr>
      <w:r>
        <w:t xml:space="preserve">Hazardous waste generates different environmental impacts such as toxic atmospheric emissions and contamination of water sources. As well as health effects on workers by inhalation of toxic gases, it was also estimated a high consumption of electrical energy monthly, on average of 1.002.467 kW per hour, a generation </w:t>
      </w:r>
      <w:r>
        <w:lastRenderedPageBreak/>
        <w:t xml:space="preserve">of ordinary solid waste of around 6.29 kg per month, and a generation of recyclable solid waste of 1.049.943 </w:t>
      </w:r>
      <w:r w:rsidR="00BE073C">
        <w:t>k</w:t>
      </w:r>
      <w:r>
        <w:t>g per year, the annual water consumption is 1.124m</w:t>
      </w:r>
      <w:r w:rsidRPr="00BE073C">
        <w:rPr>
          <w:vertAlign w:val="superscript"/>
        </w:rPr>
        <w:t>3</w:t>
      </w:r>
      <w:r>
        <w:t>.</w:t>
      </w:r>
    </w:p>
    <w:p w14:paraId="5BD074A2" w14:textId="77777777" w:rsidR="00BE073C" w:rsidRDefault="00BE073C" w:rsidP="009131AE">
      <w:pPr>
        <w:pStyle w:val="CETAcknowledgementstitle"/>
        <w:jc w:val="both"/>
        <w:rPr>
          <w:b w:val="0"/>
          <w:lang w:val="en-US"/>
        </w:rPr>
      </w:pPr>
      <w:r w:rsidRPr="00BE073C">
        <w:rPr>
          <w:b w:val="0"/>
          <w:lang w:val="en-US"/>
        </w:rPr>
        <w:t xml:space="preserve">In contrast to the guide of the Bogota district environmental secretary for the integrated management and handling of waste for the printing and lithography industries are classified as small waste generators. However, they must have controlled methods and established standards, as the study showed that there are still regulatory requirements to be met. Furthermore, the control methods required make it more challenging to achieve the environmental goals because the processes of the lithographic companies do not allow for the complete identification of environmental performance. Therefore, environmental management plans were formulated for the significant environmental aspects that alter environmental sustainability and the health of workers, in the components of air, soil, and water; it was also recommended the generation of new designs of production processes to make them more eco-efficient, eco-friendly, healthy and safe. </w:t>
      </w:r>
    </w:p>
    <w:p w14:paraId="063D9A28" w14:textId="2DBD8CD4" w:rsidR="00B15E63" w:rsidRPr="00A36E00" w:rsidRDefault="0048770C">
      <w:pPr>
        <w:pStyle w:val="CETAcknowledgementstitle"/>
        <w:rPr>
          <w:lang w:val="en-US"/>
        </w:rPr>
      </w:pPr>
      <w:r w:rsidRPr="00A36E00">
        <w:rPr>
          <w:rFonts w:eastAsiaTheme="minorHAnsi"/>
          <w:lang w:val="en-US"/>
        </w:rPr>
        <w:t xml:space="preserve">Acknowledgments </w:t>
      </w:r>
    </w:p>
    <w:p w14:paraId="044FAE0E" w14:textId="77777777" w:rsidR="00B15E63" w:rsidRPr="00A36E00" w:rsidRDefault="0048770C">
      <w:pPr>
        <w:pStyle w:val="CETBodytext"/>
      </w:pPr>
      <w:r w:rsidRPr="00A36E00">
        <w:t>Participating companies from the graphic arts sector in Bogotá.</w:t>
      </w:r>
    </w:p>
    <w:p w14:paraId="7FD4F80F" w14:textId="77777777" w:rsidR="00B15E63" w:rsidRPr="000B2C01" w:rsidRDefault="0048770C" w:rsidP="001E2C29">
      <w:pPr>
        <w:pStyle w:val="CETheadingx"/>
        <w:rPr>
          <w:lang w:val="en-US"/>
        </w:rPr>
      </w:pPr>
      <w:r w:rsidRPr="000B2C01">
        <w:rPr>
          <w:lang w:val="en-US"/>
        </w:rPr>
        <w:t>References</w:t>
      </w:r>
    </w:p>
    <w:p w14:paraId="283D561C" w14:textId="232417AD" w:rsidR="00B15E63" w:rsidRDefault="0048770C">
      <w:pPr>
        <w:pStyle w:val="CETReferencetext"/>
      </w:pPr>
      <w:proofErr w:type="spellStart"/>
      <w:r w:rsidRPr="00F8493A">
        <w:t>Amores</w:t>
      </w:r>
      <w:proofErr w:type="spellEnd"/>
      <w:r w:rsidRPr="00F8493A">
        <w:t xml:space="preserve"> J., Martin</w:t>
      </w:r>
      <w:r w:rsidR="00FC4EB7">
        <w:t xml:space="preserve"> </w:t>
      </w:r>
      <w:r w:rsidRPr="00F8493A">
        <w:t>de Castro</w:t>
      </w:r>
      <w:r w:rsidR="00FC4EB7">
        <w:t xml:space="preserve"> </w:t>
      </w:r>
      <w:r w:rsidRPr="00F8493A">
        <w:t xml:space="preserve">G., </w:t>
      </w:r>
      <w:proofErr w:type="spellStart"/>
      <w:r w:rsidRPr="00F8493A">
        <w:t>Navas</w:t>
      </w:r>
      <w:proofErr w:type="spellEnd"/>
      <w:r w:rsidR="00FC4EB7">
        <w:t xml:space="preserve"> </w:t>
      </w:r>
      <w:r w:rsidRPr="00F8493A">
        <w:t>J.</w:t>
      </w:r>
      <w:r w:rsidR="00FC4EB7">
        <w:t>,</w:t>
      </w:r>
      <w:r w:rsidR="00DE50D1">
        <w:t xml:space="preserve"> </w:t>
      </w:r>
      <w:r w:rsidRPr="00F8493A">
        <w:t>2015</w:t>
      </w:r>
      <w:r w:rsidR="00DE50D1">
        <w:t xml:space="preserve">, </w:t>
      </w:r>
      <w:r w:rsidRPr="00F8493A">
        <w:t>The importance of the complementarity between environmental management systems and environmental innovation capabilities: A firm level approach to environmental and business performance benefits. Technological Forecasting and Social Change, 96, 288-297</w:t>
      </w:r>
      <w:r w:rsidR="00F40938">
        <w:t>.</w:t>
      </w:r>
    </w:p>
    <w:p w14:paraId="541D2A17" w14:textId="6AA176B9" w:rsidR="00B15E63" w:rsidRDefault="0048770C">
      <w:pPr>
        <w:pStyle w:val="CETReferencetext"/>
        <w:rPr>
          <w:rFonts w:eastAsiaTheme="minorHAnsi"/>
        </w:rPr>
      </w:pPr>
      <w:r w:rsidRPr="00A36E00">
        <w:rPr>
          <w:lang w:val="en-US"/>
        </w:rPr>
        <w:t>Aristizabal K., Avendaño Y.</w:t>
      </w:r>
      <w:r w:rsidR="00FC4EB7">
        <w:rPr>
          <w:lang w:val="en-US"/>
        </w:rPr>
        <w:t>,</w:t>
      </w:r>
      <w:r w:rsidRPr="00A36E00">
        <w:rPr>
          <w:lang w:val="en-US"/>
        </w:rPr>
        <w:t xml:space="preserve"> Ruiz L.</w:t>
      </w:r>
      <w:r w:rsidR="00DE50D1" w:rsidRPr="00A36E00">
        <w:rPr>
          <w:lang w:val="en-US"/>
        </w:rPr>
        <w:t xml:space="preserve">, </w:t>
      </w:r>
      <w:r w:rsidRPr="00A36E00">
        <w:rPr>
          <w:lang w:val="en-US"/>
        </w:rPr>
        <w:t>2016</w:t>
      </w:r>
      <w:r w:rsidR="00DE50D1" w:rsidRPr="00A36E00">
        <w:rPr>
          <w:lang w:val="en-US"/>
        </w:rPr>
        <w:t xml:space="preserve">, </w:t>
      </w:r>
      <w:r w:rsidRPr="00A36E00">
        <w:rPr>
          <w:lang w:val="en-US"/>
        </w:rPr>
        <w:t xml:space="preserve">Cleaner production as an innovative strategy applied in a company in the textile sector. </w:t>
      </w:r>
      <w:r w:rsidRPr="00F8493A">
        <w:t>Free University</w:t>
      </w:r>
      <w:r w:rsidR="00FC4EB7">
        <w:t>,</w:t>
      </w:r>
      <w:r w:rsidRPr="00F8493A">
        <w:t xml:space="preserve"> </w:t>
      </w:r>
      <w:r w:rsidR="00FC4EB7">
        <w:t>&lt;</w:t>
      </w:r>
      <w:hyperlink r:id="rId15" w:history="1">
        <w:r w:rsidRPr="00F8493A">
          <w:rPr>
            <w:rStyle w:val="Hipervnculo"/>
            <w:color w:val="auto"/>
            <w:u w:val="none"/>
          </w:rPr>
          <w:t>https://hemeroteca.unad.edu.co/index.php/riaa/article/view/2271/2504</w:t>
        </w:r>
      </w:hyperlink>
      <w:r w:rsidR="00FC4EB7">
        <w:rPr>
          <w:rStyle w:val="Hipervnculo"/>
          <w:color w:val="auto"/>
          <w:u w:val="none"/>
        </w:rPr>
        <w:t xml:space="preserve">&gt; </w:t>
      </w:r>
      <w:r w:rsidR="00FC4EB7" w:rsidRPr="006B4888">
        <w:t>accessed 24.</w:t>
      </w:r>
      <w:r w:rsidR="00FC4EB7">
        <w:t>10.2021</w:t>
      </w:r>
      <w:r w:rsidR="00F40938">
        <w:t>.</w:t>
      </w:r>
    </w:p>
    <w:p w14:paraId="7DE49DDA" w14:textId="56E1EAC3" w:rsidR="00B15E63" w:rsidRDefault="0048770C">
      <w:pPr>
        <w:pStyle w:val="CETReferencetext"/>
        <w:rPr>
          <w:lang w:val="en-US"/>
        </w:rPr>
      </w:pPr>
      <w:proofErr w:type="spellStart"/>
      <w:r w:rsidRPr="00A36E00">
        <w:rPr>
          <w:lang w:val="en-US"/>
        </w:rPr>
        <w:t>Bastidas</w:t>
      </w:r>
      <w:proofErr w:type="spellEnd"/>
      <w:r w:rsidRPr="00A36E00">
        <w:rPr>
          <w:lang w:val="en-US"/>
        </w:rPr>
        <w:t xml:space="preserve"> U., Casanova M., </w:t>
      </w:r>
      <w:proofErr w:type="spellStart"/>
      <w:r w:rsidRPr="00A36E00">
        <w:rPr>
          <w:lang w:val="en-US"/>
        </w:rPr>
        <w:t>Deyby</w:t>
      </w:r>
      <w:proofErr w:type="spellEnd"/>
      <w:r w:rsidRPr="00A36E00">
        <w:rPr>
          <w:lang w:val="en-US"/>
        </w:rPr>
        <w:t xml:space="preserve"> M.,</w:t>
      </w:r>
      <w:r w:rsidR="00EE78AD">
        <w:rPr>
          <w:lang w:val="en-US"/>
        </w:rPr>
        <w:t xml:space="preserve"> </w:t>
      </w:r>
      <w:r w:rsidRPr="00A36E00">
        <w:rPr>
          <w:lang w:val="en-US"/>
        </w:rPr>
        <w:t>Gomez</w:t>
      </w:r>
      <w:r w:rsidR="00EE78AD">
        <w:rPr>
          <w:lang w:val="en-US"/>
        </w:rPr>
        <w:t xml:space="preserve"> </w:t>
      </w:r>
      <w:r w:rsidRPr="00A36E00">
        <w:rPr>
          <w:lang w:val="en-US"/>
        </w:rPr>
        <w:t>J.</w:t>
      </w:r>
      <w:r w:rsidR="00DE50D1" w:rsidRPr="00A36E00">
        <w:rPr>
          <w:lang w:val="en-US"/>
        </w:rPr>
        <w:t xml:space="preserve">, 2021, </w:t>
      </w:r>
      <w:r w:rsidRPr="00A36E00">
        <w:rPr>
          <w:lang w:val="en-US"/>
        </w:rPr>
        <w:t>Implementation criteria ISO 14001:2015 Case Study Management and Treatment of RESPEL</w:t>
      </w:r>
      <w:r w:rsidR="00DE50D1" w:rsidRPr="00A36E00">
        <w:rPr>
          <w:lang w:val="en-US"/>
        </w:rPr>
        <w:t xml:space="preserve">. </w:t>
      </w:r>
    </w:p>
    <w:p w14:paraId="14EA7E4B" w14:textId="4B0134B6" w:rsidR="00FC4EB7" w:rsidRDefault="00C42D89" w:rsidP="00FC4EB7">
      <w:pPr>
        <w:pStyle w:val="CETReferencetext"/>
      </w:pPr>
      <w:proofErr w:type="spellStart"/>
      <w:r>
        <w:t>Belantová</w:t>
      </w:r>
      <w:proofErr w:type="spellEnd"/>
      <w:r w:rsidR="00FC4EB7">
        <w:t xml:space="preserve"> T.</w:t>
      </w:r>
      <w:r>
        <w:t>,</w:t>
      </w:r>
      <w:r w:rsidR="00FC4EB7">
        <w:t xml:space="preserve"> </w:t>
      </w:r>
      <w:r>
        <w:t>Peterek</w:t>
      </w:r>
      <w:r w:rsidR="00FC4EB7">
        <w:t xml:space="preserve"> K., 2020, </w:t>
      </w:r>
      <w:r w:rsidR="00FC4EB7" w:rsidRPr="00FC4EB7">
        <w:t>Access of SMEs to the Risk Management Process</w:t>
      </w:r>
      <w:r w:rsidR="00FC4EB7">
        <w:t xml:space="preserve">, </w:t>
      </w:r>
      <w:r w:rsidR="00FC4EB7" w:rsidRPr="00F8493A">
        <w:t xml:space="preserve">Chemical Engineering Transactions, </w:t>
      </w:r>
      <w:r w:rsidR="00FC4EB7">
        <w:t>82</w:t>
      </w:r>
      <w:r w:rsidR="00FC4EB7" w:rsidRPr="00F8493A">
        <w:t xml:space="preserve">, </w:t>
      </w:r>
      <w:r w:rsidR="00FC4EB7">
        <w:t>3</w:t>
      </w:r>
      <w:r w:rsidR="00FC4EB7" w:rsidRPr="00F8493A">
        <w:t>7-42.</w:t>
      </w:r>
    </w:p>
    <w:p w14:paraId="4688AACF" w14:textId="33F81B59" w:rsidR="00B15E63" w:rsidRDefault="0048770C">
      <w:pPr>
        <w:pStyle w:val="CETReferencetext"/>
      </w:pPr>
      <w:proofErr w:type="spellStart"/>
      <w:r w:rsidRPr="00F8493A">
        <w:t>Boiral</w:t>
      </w:r>
      <w:proofErr w:type="spellEnd"/>
      <w:r w:rsidRPr="00F8493A">
        <w:t xml:space="preserve"> O.</w:t>
      </w:r>
      <w:r w:rsidR="00DE50D1">
        <w:t xml:space="preserve">, </w:t>
      </w:r>
      <w:r w:rsidRPr="00F8493A">
        <w:t>2011</w:t>
      </w:r>
      <w:r w:rsidR="00DE50D1">
        <w:t xml:space="preserve">, </w:t>
      </w:r>
      <w:r w:rsidRPr="00F8493A">
        <w:t>Managing with ISO Systems: Lessons from Practice. Long Range Planning, 44</w:t>
      </w:r>
      <w:r w:rsidR="009A1031">
        <w:t>,</w:t>
      </w:r>
      <w:r w:rsidRPr="00F8493A">
        <w:t xml:space="preserve">3, 197-220. </w:t>
      </w:r>
    </w:p>
    <w:p w14:paraId="040D8F5C" w14:textId="7B792905" w:rsidR="00B15E63" w:rsidRDefault="0048770C">
      <w:pPr>
        <w:pStyle w:val="CETReferencetext"/>
      </w:pPr>
      <w:proofErr w:type="spellStart"/>
      <w:r w:rsidRPr="00A36E00">
        <w:rPr>
          <w:lang w:val="en-US"/>
        </w:rPr>
        <w:t>Bugdol</w:t>
      </w:r>
      <w:proofErr w:type="spellEnd"/>
      <w:r w:rsidRPr="00A36E00">
        <w:rPr>
          <w:lang w:val="en-US"/>
        </w:rPr>
        <w:t xml:space="preserve"> M., </w:t>
      </w:r>
      <w:proofErr w:type="spellStart"/>
      <w:r w:rsidRPr="00A36E00">
        <w:rPr>
          <w:lang w:val="en-US"/>
        </w:rPr>
        <w:t>Puciato</w:t>
      </w:r>
      <w:proofErr w:type="spellEnd"/>
      <w:r w:rsidRPr="00A36E00">
        <w:rPr>
          <w:lang w:val="en-US"/>
        </w:rPr>
        <w:t xml:space="preserve"> D., Borys T</w:t>
      </w:r>
      <w:r w:rsidR="00FC4EB7">
        <w:rPr>
          <w:lang w:val="en-US"/>
        </w:rPr>
        <w:t>.</w:t>
      </w:r>
      <w:r w:rsidRPr="00A36E00">
        <w:rPr>
          <w:lang w:val="en-US"/>
        </w:rPr>
        <w:t>,</w:t>
      </w:r>
      <w:r w:rsidR="00FC4EB7">
        <w:rPr>
          <w:lang w:val="en-US"/>
        </w:rPr>
        <w:t xml:space="preserve"> </w:t>
      </w:r>
      <w:proofErr w:type="spellStart"/>
      <w:r w:rsidRPr="00A36E00">
        <w:rPr>
          <w:lang w:val="en-US"/>
        </w:rPr>
        <w:t>Jagellonica</w:t>
      </w:r>
      <w:proofErr w:type="spellEnd"/>
      <w:r w:rsidRPr="00A36E00">
        <w:rPr>
          <w:lang w:val="en-US"/>
        </w:rPr>
        <w:t xml:space="preserve"> U.</w:t>
      </w:r>
      <w:r w:rsidR="00DE50D1" w:rsidRPr="00A36E00">
        <w:rPr>
          <w:lang w:val="en-US"/>
        </w:rPr>
        <w:t xml:space="preserve">, </w:t>
      </w:r>
      <w:r w:rsidRPr="00A36E00">
        <w:rPr>
          <w:lang w:val="en-US"/>
        </w:rPr>
        <w:t>2020</w:t>
      </w:r>
      <w:r w:rsidR="00DE50D1" w:rsidRPr="00A36E00">
        <w:rPr>
          <w:lang w:val="en-US"/>
        </w:rPr>
        <w:t xml:space="preserve">, </w:t>
      </w:r>
      <w:r w:rsidRPr="00A36E00">
        <w:rPr>
          <w:lang w:val="en-US"/>
        </w:rPr>
        <w:t xml:space="preserve">Environmental management systems in the context of sustainable development: identifying open problems </w:t>
      </w:r>
      <w:proofErr w:type="spellStart"/>
      <w:r w:rsidRPr="00A36E00">
        <w:rPr>
          <w:lang w:val="en-US"/>
        </w:rPr>
        <w:t>Systemy</w:t>
      </w:r>
      <w:proofErr w:type="spellEnd"/>
      <w:r w:rsidRPr="00A36E00">
        <w:rPr>
          <w:lang w:val="en-US"/>
        </w:rPr>
        <w:t xml:space="preserve"> </w:t>
      </w:r>
      <w:proofErr w:type="spellStart"/>
      <w:r w:rsidRPr="00A36E00">
        <w:rPr>
          <w:lang w:val="en-US"/>
        </w:rPr>
        <w:t>zarządzania</w:t>
      </w:r>
      <w:proofErr w:type="spellEnd"/>
      <w:r w:rsidRPr="00A36E00">
        <w:rPr>
          <w:lang w:val="en-US"/>
        </w:rPr>
        <w:t xml:space="preserve"> </w:t>
      </w:r>
      <w:proofErr w:type="spellStart"/>
      <w:r w:rsidRPr="00A36E00">
        <w:rPr>
          <w:lang w:val="en-US"/>
        </w:rPr>
        <w:t>środowiskiemw</w:t>
      </w:r>
      <w:proofErr w:type="spellEnd"/>
      <w:r w:rsidRPr="00A36E00">
        <w:rPr>
          <w:lang w:val="en-US"/>
        </w:rPr>
        <w:t xml:space="preserve"> </w:t>
      </w:r>
      <w:proofErr w:type="spellStart"/>
      <w:r w:rsidRPr="00A36E00">
        <w:rPr>
          <w:lang w:val="en-US"/>
        </w:rPr>
        <w:t>kontekście</w:t>
      </w:r>
      <w:proofErr w:type="spellEnd"/>
      <w:r w:rsidRPr="00A36E00">
        <w:rPr>
          <w:lang w:val="en-US"/>
        </w:rPr>
        <w:t xml:space="preserve"> </w:t>
      </w:r>
      <w:proofErr w:type="spellStart"/>
      <w:r w:rsidRPr="00A36E00">
        <w:rPr>
          <w:lang w:val="en-US"/>
        </w:rPr>
        <w:t>zrównowa</w:t>
      </w:r>
      <w:proofErr w:type="spellEnd"/>
      <w:r w:rsidRPr="00A36E00">
        <w:rPr>
          <w:lang w:val="en-US"/>
        </w:rPr>
        <w:t xml:space="preserve">- </w:t>
      </w:r>
      <w:proofErr w:type="spellStart"/>
      <w:r w:rsidRPr="00A36E00">
        <w:rPr>
          <w:lang w:val="en-US"/>
        </w:rPr>
        <w:t>żonego</w:t>
      </w:r>
      <w:proofErr w:type="spellEnd"/>
      <w:r w:rsidRPr="00A36E00">
        <w:rPr>
          <w:lang w:val="en-US"/>
        </w:rPr>
        <w:t xml:space="preserve"> </w:t>
      </w:r>
      <w:proofErr w:type="spellStart"/>
      <w:r w:rsidRPr="00A36E00">
        <w:rPr>
          <w:lang w:val="en-US"/>
        </w:rPr>
        <w:t>rozwoju</w:t>
      </w:r>
      <w:proofErr w:type="spellEnd"/>
      <w:r w:rsidRPr="00A36E00">
        <w:rPr>
          <w:lang w:val="en-US"/>
        </w:rPr>
        <w:t xml:space="preserve"> - </w:t>
      </w:r>
      <w:proofErr w:type="spellStart"/>
      <w:r w:rsidRPr="00A36E00">
        <w:rPr>
          <w:lang w:val="en-US"/>
        </w:rPr>
        <w:t>identyfikacja</w:t>
      </w:r>
      <w:proofErr w:type="spellEnd"/>
      <w:r w:rsidRPr="00A36E00">
        <w:rPr>
          <w:lang w:val="en-US"/>
        </w:rPr>
        <w:t xml:space="preserve"> </w:t>
      </w:r>
      <w:proofErr w:type="spellStart"/>
      <w:r w:rsidRPr="00A36E00">
        <w:rPr>
          <w:lang w:val="en-US"/>
        </w:rPr>
        <w:t>otwartych</w:t>
      </w:r>
      <w:proofErr w:type="spellEnd"/>
      <w:r w:rsidRPr="00A36E00">
        <w:rPr>
          <w:lang w:val="en-US"/>
        </w:rPr>
        <w:t xml:space="preserve"> </w:t>
      </w:r>
      <w:proofErr w:type="spellStart"/>
      <w:r w:rsidRPr="00A36E00">
        <w:rPr>
          <w:lang w:val="en-US"/>
        </w:rPr>
        <w:t>problemów</w:t>
      </w:r>
      <w:proofErr w:type="spellEnd"/>
      <w:r w:rsidRPr="00A36E00">
        <w:rPr>
          <w:lang w:val="en-US"/>
        </w:rPr>
        <w:t xml:space="preserve">. </w:t>
      </w:r>
      <w:r w:rsidRPr="00F8493A">
        <w:t>15</w:t>
      </w:r>
      <w:r w:rsidR="009A1031">
        <w:t>,</w:t>
      </w:r>
      <w:r w:rsidRPr="00F8493A">
        <w:t>2, 131-142</w:t>
      </w:r>
      <w:r w:rsidRPr="00A36E00">
        <w:rPr>
          <w:lang w:val="en-US"/>
        </w:rPr>
        <w:t>.</w:t>
      </w:r>
    </w:p>
    <w:p w14:paraId="17416CD4" w14:textId="760E84B1" w:rsidR="00B15E63" w:rsidRPr="00A36E00" w:rsidRDefault="0048770C">
      <w:pPr>
        <w:pStyle w:val="CETReferencetext"/>
        <w:rPr>
          <w:lang w:val="en-US"/>
        </w:rPr>
      </w:pPr>
      <w:r w:rsidRPr="00A36E00">
        <w:rPr>
          <w:lang w:val="en-US"/>
        </w:rPr>
        <w:t>Cámara de Comercio de Bogotá</w:t>
      </w:r>
      <w:r w:rsidR="00DE50D1" w:rsidRPr="00A36E00">
        <w:rPr>
          <w:lang w:val="en-US"/>
        </w:rPr>
        <w:t xml:space="preserve">, </w:t>
      </w:r>
      <w:r w:rsidRPr="00A36E00">
        <w:rPr>
          <w:lang w:val="en-US"/>
        </w:rPr>
        <w:t>2021</w:t>
      </w:r>
      <w:r w:rsidR="00DE50D1" w:rsidRPr="00A36E00">
        <w:rPr>
          <w:lang w:val="en-US"/>
        </w:rPr>
        <w:t xml:space="preserve">, </w:t>
      </w:r>
      <w:r w:rsidRPr="00A36E00">
        <w:rPr>
          <w:lang w:val="en-US"/>
        </w:rPr>
        <w:t xml:space="preserve">View of </w:t>
      </w:r>
      <w:r w:rsidR="00DE50D1" w:rsidRPr="00A36E00">
        <w:rPr>
          <w:lang w:val="en-US"/>
        </w:rPr>
        <w:t>cleaner production as an environmental strategy in the framework of sustainable development</w:t>
      </w:r>
      <w:r w:rsidRPr="00A36E00">
        <w:rPr>
          <w:lang w:val="en-US"/>
        </w:rPr>
        <w:t xml:space="preserve">. </w:t>
      </w:r>
      <w:r w:rsidR="00FC4EB7">
        <w:rPr>
          <w:lang w:val="en-US"/>
        </w:rPr>
        <w:t>&lt;</w:t>
      </w:r>
      <w:hyperlink r:id="rId16" w:history="1">
        <w:r w:rsidR="006F2D5D" w:rsidRPr="00A36E00">
          <w:rPr>
            <w:rStyle w:val="Hipervnculo"/>
            <w:color w:val="auto"/>
            <w:u w:val="none"/>
            <w:lang w:val="en-US"/>
          </w:rPr>
          <w:t>http://ojs.urepublicana.edu.co/index.php/ingenieria/article/view/395/348</w:t>
        </w:r>
      </w:hyperlink>
      <w:r w:rsidR="00FC4EB7">
        <w:rPr>
          <w:rStyle w:val="Hipervnculo"/>
          <w:color w:val="auto"/>
          <w:u w:val="none"/>
          <w:lang w:val="en-US"/>
        </w:rPr>
        <w:t>&gt;</w:t>
      </w:r>
      <w:r w:rsidR="00FC4EB7" w:rsidRPr="00FC4EB7">
        <w:t xml:space="preserve"> </w:t>
      </w:r>
      <w:r w:rsidR="00FC4EB7" w:rsidRPr="006B4888">
        <w:t xml:space="preserve">accessed </w:t>
      </w:r>
      <w:r w:rsidR="00FC4EB7">
        <w:t>12</w:t>
      </w:r>
      <w:r w:rsidR="00FC4EB7" w:rsidRPr="006B4888">
        <w:t>.</w:t>
      </w:r>
      <w:r w:rsidR="00FC4EB7">
        <w:t>8.2021</w:t>
      </w:r>
      <w:r w:rsidR="00F40938">
        <w:t>.</w:t>
      </w:r>
    </w:p>
    <w:p w14:paraId="43F8C187" w14:textId="186BE764" w:rsidR="00B15E63" w:rsidRPr="00A36E00" w:rsidRDefault="0048770C">
      <w:pPr>
        <w:pStyle w:val="CETReferencetext"/>
        <w:rPr>
          <w:lang w:val="en-US"/>
        </w:rPr>
      </w:pPr>
      <w:proofErr w:type="spellStart"/>
      <w:r w:rsidRPr="00A36E00">
        <w:rPr>
          <w:lang w:val="en-US"/>
        </w:rPr>
        <w:t>Camisón</w:t>
      </w:r>
      <w:proofErr w:type="spellEnd"/>
      <w:r w:rsidR="00FC4EB7">
        <w:rPr>
          <w:lang w:val="en-US"/>
        </w:rPr>
        <w:t xml:space="preserve"> </w:t>
      </w:r>
      <w:r w:rsidRPr="00A36E00">
        <w:rPr>
          <w:lang w:val="en-US"/>
        </w:rPr>
        <w:t>C.</w:t>
      </w:r>
      <w:r w:rsidR="00FC4EB7">
        <w:rPr>
          <w:lang w:val="en-US"/>
        </w:rPr>
        <w:t>,</w:t>
      </w:r>
      <w:r w:rsidRPr="00A36E00">
        <w:rPr>
          <w:lang w:val="en-US"/>
        </w:rPr>
        <w:t xml:space="preserve"> Cruz S</w:t>
      </w:r>
      <w:r w:rsidR="00DE50D1" w:rsidRPr="00A36E00">
        <w:rPr>
          <w:lang w:val="en-US"/>
        </w:rPr>
        <w:t xml:space="preserve">., </w:t>
      </w:r>
      <w:r w:rsidRPr="00A36E00">
        <w:rPr>
          <w:lang w:val="en-US"/>
        </w:rPr>
        <w:t>2006</w:t>
      </w:r>
      <w:r w:rsidR="00DE50D1" w:rsidRPr="00A36E00">
        <w:rPr>
          <w:lang w:val="en-US"/>
        </w:rPr>
        <w:t xml:space="preserve">, </w:t>
      </w:r>
      <w:r w:rsidRPr="00A36E00">
        <w:rPr>
          <w:lang w:val="en-US"/>
        </w:rPr>
        <w:t>Quality management: concepts, approaches, models and systems</w:t>
      </w:r>
      <w:r w:rsidR="00F40938">
        <w:rPr>
          <w:lang w:val="en-US"/>
        </w:rPr>
        <w:t>,</w:t>
      </w:r>
      <w:r w:rsidRPr="00A36E00">
        <w:rPr>
          <w:lang w:val="en-US"/>
        </w:rPr>
        <w:t xml:space="preserve"> Ed. </w:t>
      </w:r>
      <w:r w:rsidRPr="00A36E00">
        <w:rPr>
          <w:lang w:val="en-US"/>
        </w:rPr>
        <w:tab/>
        <w:t>Pearson Education.</w:t>
      </w:r>
    </w:p>
    <w:p w14:paraId="392540F1" w14:textId="05DCD665" w:rsidR="00B15E63" w:rsidRDefault="0048770C">
      <w:pPr>
        <w:pStyle w:val="CETReferencetext"/>
        <w:rPr>
          <w:rFonts w:eastAsiaTheme="minorHAnsi"/>
        </w:rPr>
      </w:pPr>
      <w:r w:rsidRPr="00A36E00">
        <w:rPr>
          <w:lang w:val="en-US"/>
        </w:rPr>
        <w:t>Fajardo H.</w:t>
      </w:r>
      <w:r w:rsidR="00DE50D1" w:rsidRPr="00A36E00">
        <w:rPr>
          <w:lang w:val="en-US"/>
        </w:rPr>
        <w:t xml:space="preserve">, </w:t>
      </w:r>
      <w:r w:rsidRPr="00A36E00">
        <w:rPr>
          <w:lang w:val="en-US"/>
        </w:rPr>
        <w:t>2017</w:t>
      </w:r>
      <w:r w:rsidR="00DE50D1" w:rsidRPr="00A36E00">
        <w:rPr>
          <w:lang w:val="en-US"/>
        </w:rPr>
        <w:t xml:space="preserve">, </w:t>
      </w:r>
      <w:r w:rsidRPr="00A36E00">
        <w:rPr>
          <w:lang w:val="en-US"/>
        </w:rPr>
        <w:t>Cleaner production as an environmental strategy in the framework of sustainable development</w:t>
      </w:r>
      <w:r w:rsidR="00F40938">
        <w:rPr>
          <w:lang w:val="en-US"/>
        </w:rPr>
        <w:t>,</w:t>
      </w:r>
      <w:r w:rsidRPr="00A36E00">
        <w:rPr>
          <w:lang w:val="en-US"/>
        </w:rPr>
        <w:t xml:space="preserve"> </w:t>
      </w:r>
      <w:r w:rsidRPr="00F8493A">
        <w:t>Journal of engineering mathematics and information sciences</w:t>
      </w:r>
      <w:r w:rsidR="00F40938">
        <w:t>,</w:t>
      </w:r>
      <w:r w:rsidRPr="00F8493A">
        <w:t xml:space="preserve"> 4</w:t>
      </w:r>
      <w:r w:rsidR="009A1031">
        <w:t>,</w:t>
      </w:r>
      <w:r w:rsidRPr="00F8493A">
        <w:t>8</w:t>
      </w:r>
      <w:r w:rsidR="00F40938">
        <w:t>,</w:t>
      </w:r>
      <w:r w:rsidRPr="00F8493A">
        <w:t>47-59</w:t>
      </w:r>
      <w:r w:rsidR="00F40938">
        <w:t>.</w:t>
      </w:r>
    </w:p>
    <w:p w14:paraId="653942C7" w14:textId="5545EDDC" w:rsidR="00B15E63" w:rsidRDefault="0048770C">
      <w:pPr>
        <w:pStyle w:val="CETReferencetext"/>
      </w:pPr>
      <w:r w:rsidRPr="00A36E00">
        <w:rPr>
          <w:lang w:val="en-US"/>
        </w:rPr>
        <w:t>García J.</w:t>
      </w:r>
      <w:r w:rsidR="00DE50D1" w:rsidRPr="00A36E00">
        <w:rPr>
          <w:lang w:val="en-US"/>
        </w:rPr>
        <w:t xml:space="preserve">, </w:t>
      </w:r>
      <w:r w:rsidRPr="00A36E00">
        <w:rPr>
          <w:lang w:val="en-US"/>
        </w:rPr>
        <w:t>2015</w:t>
      </w:r>
      <w:r w:rsidR="00DE50D1" w:rsidRPr="00A36E00">
        <w:rPr>
          <w:lang w:val="en-US"/>
        </w:rPr>
        <w:t xml:space="preserve">, </w:t>
      </w:r>
      <w:r w:rsidRPr="00A36E00">
        <w:rPr>
          <w:lang w:val="en-US"/>
        </w:rPr>
        <w:t xml:space="preserve">Improving the design of a service using the </w:t>
      </w:r>
      <w:r w:rsidR="009A1031" w:rsidRPr="00A36E00">
        <w:rPr>
          <w:lang w:val="en-US"/>
        </w:rPr>
        <w:t>AMFE</w:t>
      </w:r>
      <w:r w:rsidRPr="00A36E00">
        <w:rPr>
          <w:lang w:val="en-US"/>
        </w:rPr>
        <w:t xml:space="preserve"> methodology. </w:t>
      </w:r>
      <w:r w:rsidRPr="00F8493A">
        <w:t>An application in a hotel company</w:t>
      </w:r>
      <w:r w:rsidR="00F40938">
        <w:t xml:space="preserve">, </w:t>
      </w:r>
      <w:r w:rsidRPr="00F8493A">
        <w:t xml:space="preserve">Universidad </w:t>
      </w:r>
      <w:proofErr w:type="spellStart"/>
      <w:r w:rsidRPr="00F8493A">
        <w:t>Politécnica</w:t>
      </w:r>
      <w:proofErr w:type="spellEnd"/>
      <w:r w:rsidRPr="00F8493A">
        <w:t xml:space="preserve"> de Cartagena</w:t>
      </w:r>
      <w:r w:rsidR="00F40938">
        <w:t>.</w:t>
      </w:r>
      <w:r w:rsidRPr="00F8493A">
        <w:t xml:space="preserve"> </w:t>
      </w:r>
    </w:p>
    <w:p w14:paraId="60C3B557" w14:textId="771E568C" w:rsidR="00B15E63" w:rsidRDefault="0048770C">
      <w:pPr>
        <w:pStyle w:val="CETReferencetext"/>
      </w:pPr>
      <w:r w:rsidRPr="00A36E00">
        <w:rPr>
          <w:lang w:val="en-US"/>
        </w:rPr>
        <w:t>Gutiérrez P.</w:t>
      </w:r>
      <w:r w:rsidR="00F40938">
        <w:rPr>
          <w:lang w:val="en-US"/>
        </w:rPr>
        <w:t>,</w:t>
      </w:r>
      <w:r w:rsidRPr="00A36E00">
        <w:rPr>
          <w:lang w:val="en-US"/>
        </w:rPr>
        <w:t xml:space="preserve"> De la Vara S.</w:t>
      </w:r>
      <w:r w:rsidR="00DE50D1" w:rsidRPr="00A36E00">
        <w:rPr>
          <w:lang w:val="en-US"/>
        </w:rPr>
        <w:t xml:space="preserve">, </w:t>
      </w:r>
      <w:r w:rsidRPr="00A36E00">
        <w:rPr>
          <w:lang w:val="en-US"/>
        </w:rPr>
        <w:t>2013</w:t>
      </w:r>
      <w:r w:rsidR="00DE50D1" w:rsidRPr="00A36E00">
        <w:rPr>
          <w:lang w:val="en-US"/>
        </w:rPr>
        <w:t xml:space="preserve">, </w:t>
      </w:r>
      <w:r w:rsidRPr="00A36E00">
        <w:rPr>
          <w:lang w:val="en-US"/>
        </w:rPr>
        <w:t>Statistical quality control and Six Sigma</w:t>
      </w:r>
      <w:r w:rsidR="00F40938">
        <w:rPr>
          <w:lang w:val="en-US"/>
        </w:rPr>
        <w:t>,</w:t>
      </w:r>
      <w:r w:rsidRPr="00A36E00">
        <w:rPr>
          <w:lang w:val="en-US"/>
        </w:rPr>
        <w:t xml:space="preserve"> </w:t>
      </w:r>
      <w:r w:rsidRPr="00F8493A">
        <w:t>Ed. McGraw Hill.</w:t>
      </w:r>
    </w:p>
    <w:p w14:paraId="4F10BDC5" w14:textId="77777777" w:rsidR="00B15E63" w:rsidRDefault="0048770C">
      <w:pPr>
        <w:pStyle w:val="CETReferencetext"/>
      </w:pPr>
      <w:r w:rsidRPr="00F8493A">
        <w:t>Gracia J., Cepeda J., Lopez L., Acevedo P., 2018, Application of Cleaner Production for Environmental Management in Mezcauchos SAS, Chemical Engineering Transactions, 67, 427-432.</w:t>
      </w:r>
    </w:p>
    <w:p w14:paraId="504D0F60" w14:textId="1BFF40DB" w:rsidR="00B15E63" w:rsidRDefault="002B612F">
      <w:pPr>
        <w:pStyle w:val="CETReferencetext"/>
        <w:rPr>
          <w:rFonts w:eastAsiaTheme="minorHAnsi"/>
        </w:rPr>
      </w:pPr>
      <w:hyperlink r:id="rId17" w:history="1">
        <w:r w:rsidR="004D55C0" w:rsidRPr="00A36E00">
          <w:rPr>
            <w:rFonts w:eastAsiaTheme="minorHAnsi"/>
            <w:lang w:val="en-US"/>
          </w:rPr>
          <w:t xml:space="preserve">Hoof B., </w:t>
        </w:r>
      </w:hyperlink>
      <w:hyperlink r:id="rId18" w:history="1">
        <w:r w:rsidR="004D55C0" w:rsidRPr="00A36E00">
          <w:rPr>
            <w:rFonts w:eastAsiaTheme="minorHAnsi"/>
            <w:lang w:val="en-US"/>
          </w:rPr>
          <w:t xml:space="preserve">Monroy </w:t>
        </w:r>
      </w:hyperlink>
      <w:r w:rsidR="004D55C0" w:rsidRPr="00A36E00">
        <w:rPr>
          <w:rFonts w:eastAsiaTheme="minorHAnsi"/>
          <w:lang w:val="en-US"/>
        </w:rPr>
        <w:t xml:space="preserve">N., </w:t>
      </w:r>
      <w:hyperlink r:id="rId19" w:history="1">
        <w:r w:rsidR="004D55C0" w:rsidRPr="00A36E00">
          <w:rPr>
            <w:rFonts w:eastAsiaTheme="minorHAnsi"/>
            <w:lang w:val="en-US"/>
          </w:rPr>
          <w:t>Saer A</w:t>
        </w:r>
      </w:hyperlink>
      <w:r w:rsidR="004D55C0" w:rsidRPr="00A36E00">
        <w:rPr>
          <w:rFonts w:eastAsiaTheme="minorHAnsi"/>
          <w:lang w:val="en-US"/>
        </w:rPr>
        <w:t>.</w:t>
      </w:r>
      <w:r w:rsidR="00DE50D1" w:rsidRPr="00A36E00">
        <w:rPr>
          <w:rFonts w:eastAsiaTheme="minorHAnsi"/>
          <w:lang w:val="en-US"/>
        </w:rPr>
        <w:t xml:space="preserve">, </w:t>
      </w:r>
      <w:r w:rsidR="004D55C0" w:rsidRPr="00A36E00">
        <w:rPr>
          <w:rFonts w:eastAsiaTheme="minorHAnsi"/>
          <w:lang w:val="en-US"/>
        </w:rPr>
        <w:t>2008</w:t>
      </w:r>
      <w:r w:rsidR="00DE50D1" w:rsidRPr="00A36E00">
        <w:rPr>
          <w:rFonts w:eastAsiaTheme="minorHAnsi"/>
          <w:lang w:val="en-US"/>
        </w:rPr>
        <w:t xml:space="preserve">, </w:t>
      </w:r>
      <w:r w:rsidR="004D55C0" w:rsidRPr="00A36E00">
        <w:rPr>
          <w:rFonts w:eastAsiaTheme="minorHAnsi"/>
          <w:lang w:val="en-US"/>
        </w:rPr>
        <w:t>Cleaner production paradigm of environmental management</w:t>
      </w:r>
      <w:r w:rsidR="00F40938">
        <w:rPr>
          <w:rFonts w:eastAsiaTheme="minorHAnsi"/>
          <w:lang w:val="en-US"/>
        </w:rPr>
        <w:t>,</w:t>
      </w:r>
      <w:r w:rsidR="004D55C0" w:rsidRPr="00A36E00">
        <w:rPr>
          <w:rFonts w:eastAsiaTheme="minorHAnsi"/>
          <w:lang w:val="en-US"/>
        </w:rPr>
        <w:t xml:space="preserve"> </w:t>
      </w:r>
      <w:r w:rsidR="004D55C0" w:rsidRPr="00F8493A">
        <w:rPr>
          <w:rFonts w:eastAsiaTheme="minorHAnsi"/>
        </w:rPr>
        <w:t xml:space="preserve">Ed. </w:t>
      </w:r>
      <w:hyperlink r:id="rId20" w:history="1">
        <w:proofErr w:type="spellStart"/>
        <w:r w:rsidR="004D55C0" w:rsidRPr="00F8493A">
          <w:rPr>
            <w:rFonts w:eastAsiaTheme="minorHAnsi"/>
          </w:rPr>
          <w:t>Alfaomega</w:t>
        </w:r>
        <w:proofErr w:type="spellEnd"/>
      </w:hyperlink>
      <w:r w:rsidR="00F40938">
        <w:rPr>
          <w:rFonts w:eastAsiaTheme="minorHAnsi"/>
        </w:rPr>
        <w:t>.</w:t>
      </w:r>
    </w:p>
    <w:p w14:paraId="3753A36D" w14:textId="051E989C" w:rsidR="00B15E63" w:rsidRDefault="0048770C">
      <w:pPr>
        <w:pStyle w:val="CETReferencetext"/>
        <w:rPr>
          <w:rFonts w:eastAsiaTheme="minorHAnsi"/>
        </w:rPr>
      </w:pPr>
      <w:r w:rsidRPr="00A36E00">
        <w:rPr>
          <w:rFonts w:eastAsiaTheme="minorHAnsi"/>
          <w:lang w:val="en-US"/>
        </w:rPr>
        <w:t>IHOBE</w:t>
      </w:r>
      <w:r w:rsidR="00DE50D1" w:rsidRPr="00A36E00">
        <w:rPr>
          <w:rFonts w:eastAsiaTheme="minorHAnsi"/>
          <w:lang w:val="en-US"/>
        </w:rPr>
        <w:t xml:space="preserve">, </w:t>
      </w:r>
      <w:r w:rsidR="00E25F7B" w:rsidRPr="00A36E00">
        <w:rPr>
          <w:rFonts w:eastAsiaTheme="minorHAnsi"/>
          <w:lang w:val="en-US"/>
        </w:rPr>
        <w:t>2000</w:t>
      </w:r>
      <w:r w:rsidR="00DE50D1" w:rsidRPr="00A36E00">
        <w:rPr>
          <w:rFonts w:eastAsiaTheme="minorHAnsi"/>
          <w:lang w:val="en-US"/>
        </w:rPr>
        <w:t xml:space="preserve">, </w:t>
      </w:r>
      <w:r w:rsidRPr="00A36E00">
        <w:rPr>
          <w:lang w:val="en-US"/>
        </w:rPr>
        <w:t xml:space="preserve">White Paper on Waste and Emissions </w:t>
      </w:r>
      <w:proofErr w:type="spellStart"/>
      <w:r w:rsidRPr="00A36E00">
        <w:rPr>
          <w:lang w:val="en-US"/>
        </w:rPr>
        <w:t>Minimisation</w:t>
      </w:r>
      <w:proofErr w:type="spellEnd"/>
      <w:r w:rsidR="00F40938">
        <w:rPr>
          <w:rFonts w:eastAsiaTheme="minorHAnsi"/>
          <w:lang w:val="en-US"/>
        </w:rPr>
        <w:t>,</w:t>
      </w:r>
      <w:r w:rsidR="00E25F7B" w:rsidRPr="00A36E00">
        <w:rPr>
          <w:rFonts w:eastAsiaTheme="minorHAnsi"/>
          <w:lang w:val="en-US"/>
        </w:rPr>
        <w:t xml:space="preserve"> </w:t>
      </w:r>
      <w:r w:rsidR="00E25F7B" w:rsidRPr="00F40938">
        <w:rPr>
          <w:rFonts w:eastAsiaTheme="minorHAnsi"/>
          <w:lang w:val="en-US"/>
        </w:rPr>
        <w:t xml:space="preserve">Sociedad Publica </w:t>
      </w:r>
      <w:proofErr w:type="spellStart"/>
      <w:r w:rsidR="00E25F7B" w:rsidRPr="00F40938">
        <w:rPr>
          <w:rFonts w:eastAsiaTheme="minorHAnsi"/>
          <w:lang w:val="en-US"/>
        </w:rPr>
        <w:t>Gestión</w:t>
      </w:r>
      <w:proofErr w:type="spellEnd"/>
      <w:r w:rsidR="00E25F7B" w:rsidRPr="00F40938">
        <w:rPr>
          <w:rFonts w:eastAsiaTheme="minorHAnsi"/>
          <w:lang w:val="en-US"/>
        </w:rPr>
        <w:t xml:space="preserve"> Ambiental</w:t>
      </w:r>
      <w:r w:rsidR="00F40938">
        <w:rPr>
          <w:rFonts w:eastAsiaTheme="minorHAnsi"/>
          <w:lang w:val="en-US"/>
        </w:rPr>
        <w:t>,</w:t>
      </w:r>
      <w:r w:rsidR="00E25F7B" w:rsidRPr="00F40938">
        <w:rPr>
          <w:rFonts w:eastAsiaTheme="minorHAnsi"/>
          <w:lang w:val="en-US"/>
        </w:rPr>
        <w:t xml:space="preserve"> </w:t>
      </w:r>
      <w:r w:rsidR="00E25F7B" w:rsidRPr="00F8493A">
        <w:rPr>
          <w:rFonts w:eastAsiaTheme="minorHAnsi"/>
        </w:rPr>
        <w:t>Spain</w:t>
      </w:r>
      <w:r w:rsidR="00F40938">
        <w:rPr>
          <w:rFonts w:eastAsiaTheme="minorHAnsi"/>
        </w:rPr>
        <w:t>.</w:t>
      </w:r>
    </w:p>
    <w:p w14:paraId="1EB1665D" w14:textId="7FDD7855" w:rsidR="00B15E63" w:rsidRDefault="0048770C">
      <w:pPr>
        <w:pStyle w:val="CETReferencetext"/>
      </w:pPr>
      <w:r w:rsidRPr="00DE50D1">
        <w:rPr>
          <w:lang w:val="en-US"/>
        </w:rPr>
        <w:t>Lopes A., Delai I., De Castro A.,</w:t>
      </w:r>
      <w:r w:rsidR="00F40938">
        <w:rPr>
          <w:lang w:val="en-US"/>
        </w:rPr>
        <w:t xml:space="preserve"> </w:t>
      </w:r>
      <w:proofErr w:type="spellStart"/>
      <w:r w:rsidRPr="00DE50D1">
        <w:rPr>
          <w:lang w:val="en-US"/>
        </w:rPr>
        <w:t>Ometto</w:t>
      </w:r>
      <w:proofErr w:type="spellEnd"/>
      <w:r w:rsidRPr="00DE50D1">
        <w:rPr>
          <w:lang w:val="en-US"/>
        </w:rPr>
        <w:t xml:space="preserve"> R.</w:t>
      </w:r>
      <w:r w:rsidR="00DE50D1" w:rsidRPr="00DE50D1">
        <w:rPr>
          <w:lang w:val="en-US"/>
        </w:rPr>
        <w:t xml:space="preserve">, </w:t>
      </w:r>
      <w:r w:rsidRPr="00DE50D1">
        <w:rPr>
          <w:lang w:val="en-US"/>
        </w:rPr>
        <w:t>2013</w:t>
      </w:r>
      <w:r w:rsidR="00DE50D1">
        <w:rPr>
          <w:lang w:val="en-US"/>
        </w:rPr>
        <w:t xml:space="preserve">, </w:t>
      </w:r>
      <w:r w:rsidRPr="00F8493A">
        <w:t>Quality tools applied to Cleaner Production programs: A first approach toward a new methodology</w:t>
      </w:r>
      <w:r w:rsidR="00F40938">
        <w:t>,</w:t>
      </w:r>
      <w:r w:rsidRPr="00F8493A">
        <w:t xml:space="preserve"> Journal of Cleaner Production, 47, 174-187. </w:t>
      </w:r>
    </w:p>
    <w:p w14:paraId="273A216B" w14:textId="7A70F89B" w:rsidR="00F40938" w:rsidRDefault="0048770C" w:rsidP="00F40938">
      <w:pPr>
        <w:pStyle w:val="CETReferencetext"/>
        <w:rPr>
          <w:rFonts w:eastAsiaTheme="minorHAnsi"/>
        </w:rPr>
      </w:pPr>
      <w:proofErr w:type="spellStart"/>
      <w:r w:rsidRPr="00A36E00">
        <w:rPr>
          <w:lang w:val="en-US"/>
        </w:rPr>
        <w:t>Minambiente</w:t>
      </w:r>
      <w:proofErr w:type="spellEnd"/>
      <w:r w:rsidR="00DE50D1" w:rsidRPr="00A36E00">
        <w:rPr>
          <w:lang w:val="en-US"/>
        </w:rPr>
        <w:t xml:space="preserve">, </w:t>
      </w:r>
      <w:r w:rsidRPr="00A36E00">
        <w:rPr>
          <w:lang w:val="en-US"/>
        </w:rPr>
        <w:t>2021</w:t>
      </w:r>
      <w:r w:rsidR="00DE50D1" w:rsidRPr="00A36E00">
        <w:rPr>
          <w:lang w:val="en-US"/>
        </w:rPr>
        <w:t xml:space="preserve">, </w:t>
      </w:r>
      <w:r w:rsidRPr="00A36E00">
        <w:rPr>
          <w:lang w:val="en-US"/>
        </w:rPr>
        <w:t xml:space="preserve">Sustainable production and consumption. </w:t>
      </w:r>
      <w:r w:rsidR="00F40938">
        <w:rPr>
          <w:lang w:val="en-US"/>
        </w:rPr>
        <w:t>&lt;</w:t>
      </w:r>
      <w:hyperlink r:id="rId21" w:history="1">
        <w:r w:rsidR="009C030D" w:rsidRPr="00F8493A">
          <w:rPr>
            <w:rStyle w:val="Hipervnculo"/>
            <w:color w:val="auto"/>
            <w:u w:val="none"/>
          </w:rPr>
          <w:t>https://www.minambiente.gov.co/index.php/component/content/article/154-plantillaasuntos-ambientales-y-sectorial-y-urbana-7</w:t>
        </w:r>
      </w:hyperlink>
      <w:r w:rsidR="00F40938">
        <w:rPr>
          <w:rStyle w:val="Hipervnculo"/>
          <w:color w:val="auto"/>
          <w:u w:val="none"/>
        </w:rPr>
        <w:t>&gt;</w:t>
      </w:r>
      <w:r w:rsidR="00F40938" w:rsidRPr="00F40938">
        <w:t xml:space="preserve"> </w:t>
      </w:r>
      <w:r w:rsidR="00F40938" w:rsidRPr="006B4888">
        <w:t xml:space="preserve">accessed </w:t>
      </w:r>
      <w:r w:rsidR="00F40938">
        <w:t>14</w:t>
      </w:r>
      <w:r w:rsidR="00F40938" w:rsidRPr="006B4888">
        <w:t>.</w:t>
      </w:r>
      <w:r w:rsidR="00F40938">
        <w:t>7.2021.</w:t>
      </w:r>
    </w:p>
    <w:p w14:paraId="170840EC" w14:textId="67A50335" w:rsidR="00B15E63" w:rsidRPr="00EE78AD" w:rsidRDefault="0048770C" w:rsidP="00EE78AD">
      <w:pPr>
        <w:pStyle w:val="CETReferencetext"/>
        <w:rPr>
          <w:lang w:val="en-US"/>
        </w:rPr>
      </w:pPr>
      <w:r w:rsidRPr="00A36E00">
        <w:rPr>
          <w:lang w:val="en-US"/>
        </w:rPr>
        <w:t xml:space="preserve">Ramirez </w:t>
      </w:r>
      <w:r w:rsidR="008650F1" w:rsidRPr="00A36E00">
        <w:rPr>
          <w:lang w:val="en-US"/>
        </w:rPr>
        <w:t>L.</w:t>
      </w:r>
      <w:r w:rsidR="00DE50D1" w:rsidRPr="00A36E00">
        <w:rPr>
          <w:lang w:val="en-US"/>
        </w:rPr>
        <w:t xml:space="preserve">, </w:t>
      </w:r>
      <w:r w:rsidR="008650F1" w:rsidRPr="00A36E00">
        <w:rPr>
          <w:lang w:val="en-US"/>
        </w:rPr>
        <w:t>2013</w:t>
      </w:r>
      <w:r w:rsidR="00DE50D1" w:rsidRPr="00A36E00">
        <w:rPr>
          <w:lang w:val="en-US"/>
        </w:rPr>
        <w:t xml:space="preserve">, </w:t>
      </w:r>
      <w:r w:rsidR="00D11075" w:rsidRPr="00A36E00">
        <w:rPr>
          <w:lang w:val="en-US"/>
        </w:rPr>
        <w:t>State of the art on the impact of environmental management system based on ISO 14001 on the sustainability of organizations</w:t>
      </w:r>
      <w:r w:rsidR="00F40938">
        <w:rPr>
          <w:lang w:val="en-US"/>
        </w:rPr>
        <w:t>,</w:t>
      </w:r>
      <w:r w:rsidR="008650F1" w:rsidRPr="00A36E00">
        <w:rPr>
          <w:lang w:val="en-US"/>
        </w:rPr>
        <w:t xml:space="preserve"> </w:t>
      </w:r>
      <w:r w:rsidR="008650F1" w:rsidRPr="00F8493A">
        <w:t>Journal of Chemical Information and Modeling, 53(9), 1689-1699.</w:t>
      </w:r>
    </w:p>
    <w:p w14:paraId="32AF6B96" w14:textId="7A66C014" w:rsidR="00B15E63" w:rsidRPr="00A36E00" w:rsidRDefault="0048770C">
      <w:pPr>
        <w:pStyle w:val="CETReferencetext"/>
        <w:rPr>
          <w:lang w:val="en-US"/>
        </w:rPr>
      </w:pPr>
      <w:r w:rsidRPr="00A36E00">
        <w:rPr>
          <w:lang w:val="en-US"/>
        </w:rPr>
        <w:t>Rojas S.</w:t>
      </w:r>
      <w:r w:rsidR="00DE50D1" w:rsidRPr="00A36E00">
        <w:rPr>
          <w:lang w:val="en-US"/>
        </w:rPr>
        <w:t xml:space="preserve">, </w:t>
      </w:r>
      <w:r w:rsidRPr="00A36E00">
        <w:rPr>
          <w:lang w:val="en-US"/>
        </w:rPr>
        <w:t>2019</w:t>
      </w:r>
      <w:r w:rsidR="00DE50D1" w:rsidRPr="00A36E00">
        <w:rPr>
          <w:lang w:val="en-US"/>
        </w:rPr>
        <w:t xml:space="preserve">, </w:t>
      </w:r>
      <w:r w:rsidRPr="00A36E00">
        <w:rPr>
          <w:lang w:val="en-US"/>
        </w:rPr>
        <w:t>Implementation of failure mode and effects analysis (FMEA)</w:t>
      </w:r>
      <w:r w:rsidR="00F40938">
        <w:rPr>
          <w:lang w:val="en-US"/>
        </w:rPr>
        <w:t>,</w:t>
      </w:r>
      <w:r w:rsidRPr="00A36E00">
        <w:rPr>
          <w:lang w:val="en-US"/>
        </w:rPr>
        <w:t xml:space="preserve"> </w:t>
      </w:r>
      <w:proofErr w:type="spellStart"/>
      <w:r w:rsidRPr="00A36E00">
        <w:rPr>
          <w:lang w:val="en-US"/>
        </w:rPr>
        <w:t>Glosas</w:t>
      </w:r>
      <w:proofErr w:type="spellEnd"/>
      <w:r w:rsidRPr="00A36E00">
        <w:rPr>
          <w:lang w:val="en-US"/>
        </w:rPr>
        <w:t xml:space="preserve"> de </w:t>
      </w:r>
      <w:proofErr w:type="spellStart"/>
      <w:r w:rsidRPr="00A36E00">
        <w:rPr>
          <w:lang w:val="en-US"/>
        </w:rPr>
        <w:t>Innovación</w:t>
      </w:r>
      <w:proofErr w:type="spellEnd"/>
      <w:r w:rsidRPr="00A36E00">
        <w:rPr>
          <w:lang w:val="en-US"/>
        </w:rPr>
        <w:t xml:space="preserve"> </w:t>
      </w:r>
      <w:proofErr w:type="spellStart"/>
      <w:r w:rsidRPr="00A36E00">
        <w:rPr>
          <w:lang w:val="en-US"/>
        </w:rPr>
        <w:t>Aplicadas</w:t>
      </w:r>
      <w:proofErr w:type="spellEnd"/>
      <w:r w:rsidRPr="00A36E00">
        <w:rPr>
          <w:lang w:val="en-US"/>
        </w:rPr>
        <w:t xml:space="preserve"> a La </w:t>
      </w:r>
      <w:proofErr w:type="spellStart"/>
      <w:r w:rsidRPr="00A36E00">
        <w:rPr>
          <w:lang w:val="en-US"/>
        </w:rPr>
        <w:t>Pyme</w:t>
      </w:r>
      <w:proofErr w:type="spellEnd"/>
      <w:r w:rsidRPr="00A36E00">
        <w:rPr>
          <w:lang w:val="en-US"/>
        </w:rPr>
        <w:t>, 8</w:t>
      </w:r>
      <w:r w:rsidR="009A1031">
        <w:rPr>
          <w:lang w:val="en-US"/>
        </w:rPr>
        <w:t xml:space="preserve">, </w:t>
      </w:r>
      <w:r w:rsidRPr="00A36E00">
        <w:rPr>
          <w:lang w:val="en-US"/>
        </w:rPr>
        <w:t xml:space="preserve">64-75. </w:t>
      </w:r>
    </w:p>
    <w:p w14:paraId="0EBF28C5" w14:textId="32D9250D" w:rsidR="00B15E63" w:rsidRPr="00A36E00" w:rsidRDefault="0048770C">
      <w:pPr>
        <w:pStyle w:val="CETReferencetext"/>
        <w:rPr>
          <w:lang w:val="en-US"/>
        </w:rPr>
      </w:pPr>
      <w:r w:rsidRPr="00A36E00">
        <w:rPr>
          <w:lang w:val="en-US"/>
        </w:rPr>
        <w:t>Vásquez K., Rodríguez D., Andrade J., Valderrama L.</w:t>
      </w:r>
      <w:r w:rsidR="001927B6" w:rsidRPr="00A36E00">
        <w:rPr>
          <w:lang w:val="en-US"/>
        </w:rPr>
        <w:t xml:space="preserve">, </w:t>
      </w:r>
      <w:r w:rsidRPr="00A36E00">
        <w:rPr>
          <w:lang w:val="en-US"/>
        </w:rPr>
        <w:t>2017</w:t>
      </w:r>
      <w:r w:rsidR="001927B6" w:rsidRPr="00A36E00">
        <w:rPr>
          <w:lang w:val="en-US"/>
        </w:rPr>
        <w:t xml:space="preserve">, </w:t>
      </w:r>
      <w:r w:rsidRPr="00A36E00">
        <w:rPr>
          <w:lang w:val="en-US"/>
        </w:rPr>
        <w:t>Modal analysis of failures and effects (</w:t>
      </w:r>
      <w:r w:rsidR="009A1031" w:rsidRPr="00A36E00">
        <w:rPr>
          <w:lang w:val="en-US"/>
        </w:rPr>
        <w:t>AMFE</w:t>
      </w:r>
      <w:r w:rsidRPr="00A36E00">
        <w:rPr>
          <w:lang w:val="en-US"/>
        </w:rPr>
        <w:t>) in the provision of two services of the</w:t>
      </w:r>
      <w:r w:rsidR="00EE78AD" w:rsidRPr="00A36E00">
        <w:rPr>
          <w:lang w:val="en-US"/>
        </w:rPr>
        <w:t xml:space="preserve"> I.P.S </w:t>
      </w:r>
      <w:r w:rsidRPr="00A36E00">
        <w:rPr>
          <w:lang w:val="en-US"/>
        </w:rPr>
        <w:t xml:space="preserve">neurotrauma center, Universidad de Santander UDES. </w:t>
      </w:r>
    </w:p>
    <w:sectPr w:rsidR="00B15E63" w:rsidRPr="00A36E0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5CE0" w14:textId="77777777" w:rsidR="002B612F" w:rsidRDefault="002B612F" w:rsidP="004F5E36">
      <w:r>
        <w:separator/>
      </w:r>
    </w:p>
  </w:endnote>
  <w:endnote w:type="continuationSeparator" w:id="0">
    <w:p w14:paraId="528D9468" w14:textId="77777777" w:rsidR="002B612F" w:rsidRDefault="002B612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5C3BA" w14:textId="77777777" w:rsidR="002B612F" w:rsidRDefault="002B612F" w:rsidP="004F5E36">
      <w:r>
        <w:separator/>
      </w:r>
    </w:p>
  </w:footnote>
  <w:footnote w:type="continuationSeparator" w:id="0">
    <w:p w14:paraId="36860207" w14:textId="77777777" w:rsidR="002B612F" w:rsidRDefault="002B612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3269E9"/>
    <w:multiLevelType w:val="multilevel"/>
    <w:tmpl w:val="96AC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B5F"/>
    <w:rsid w:val="000052FB"/>
    <w:rsid w:val="00007E08"/>
    <w:rsid w:val="0001104D"/>
    <w:rsid w:val="00011150"/>
    <w:rsid w:val="000117CB"/>
    <w:rsid w:val="000220E4"/>
    <w:rsid w:val="0003148D"/>
    <w:rsid w:val="00031BDA"/>
    <w:rsid w:val="00031EEC"/>
    <w:rsid w:val="00037FC4"/>
    <w:rsid w:val="00051566"/>
    <w:rsid w:val="00052669"/>
    <w:rsid w:val="00062A9A"/>
    <w:rsid w:val="00065058"/>
    <w:rsid w:val="0007770D"/>
    <w:rsid w:val="0008170E"/>
    <w:rsid w:val="00086C39"/>
    <w:rsid w:val="00091609"/>
    <w:rsid w:val="000A03B2"/>
    <w:rsid w:val="000B2C01"/>
    <w:rsid w:val="000C4644"/>
    <w:rsid w:val="000D0268"/>
    <w:rsid w:val="000D34BE"/>
    <w:rsid w:val="000D3C4F"/>
    <w:rsid w:val="000E102F"/>
    <w:rsid w:val="000E36F1"/>
    <w:rsid w:val="000E3A73"/>
    <w:rsid w:val="000E414A"/>
    <w:rsid w:val="000F093C"/>
    <w:rsid w:val="000F787B"/>
    <w:rsid w:val="00106F4F"/>
    <w:rsid w:val="001100A0"/>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736A1"/>
    <w:rsid w:val="00182221"/>
    <w:rsid w:val="00184AD6"/>
    <w:rsid w:val="001927B6"/>
    <w:rsid w:val="001A22C2"/>
    <w:rsid w:val="001A3B47"/>
    <w:rsid w:val="001A4AF7"/>
    <w:rsid w:val="001B0349"/>
    <w:rsid w:val="001B1E93"/>
    <w:rsid w:val="001B65C1"/>
    <w:rsid w:val="001C684B"/>
    <w:rsid w:val="001D0CFB"/>
    <w:rsid w:val="001D53FC"/>
    <w:rsid w:val="001E2C29"/>
    <w:rsid w:val="001F42A5"/>
    <w:rsid w:val="001F7B9D"/>
    <w:rsid w:val="002012BA"/>
    <w:rsid w:val="00201C93"/>
    <w:rsid w:val="00214AFF"/>
    <w:rsid w:val="002224B4"/>
    <w:rsid w:val="00224574"/>
    <w:rsid w:val="00232852"/>
    <w:rsid w:val="002447EF"/>
    <w:rsid w:val="00250FCC"/>
    <w:rsid w:val="00251550"/>
    <w:rsid w:val="00263B05"/>
    <w:rsid w:val="0027221A"/>
    <w:rsid w:val="00275B61"/>
    <w:rsid w:val="00280FAF"/>
    <w:rsid w:val="002822EB"/>
    <w:rsid w:val="00282656"/>
    <w:rsid w:val="00296B83"/>
    <w:rsid w:val="002A5389"/>
    <w:rsid w:val="002B1CC6"/>
    <w:rsid w:val="002B4015"/>
    <w:rsid w:val="002B612F"/>
    <w:rsid w:val="002B78CE"/>
    <w:rsid w:val="002C2FB6"/>
    <w:rsid w:val="002C38EE"/>
    <w:rsid w:val="002C61FD"/>
    <w:rsid w:val="002E5FA7"/>
    <w:rsid w:val="002F3309"/>
    <w:rsid w:val="003008CE"/>
    <w:rsid w:val="003009B7"/>
    <w:rsid w:val="00300E56"/>
    <w:rsid w:val="0030469C"/>
    <w:rsid w:val="00321CA6"/>
    <w:rsid w:val="00323763"/>
    <w:rsid w:val="00331CFE"/>
    <w:rsid w:val="00334C09"/>
    <w:rsid w:val="0033579D"/>
    <w:rsid w:val="0034293B"/>
    <w:rsid w:val="00347B03"/>
    <w:rsid w:val="0035584B"/>
    <w:rsid w:val="00356020"/>
    <w:rsid w:val="0037219D"/>
    <w:rsid w:val="003723D4"/>
    <w:rsid w:val="00381905"/>
    <w:rsid w:val="00384CC8"/>
    <w:rsid w:val="00386739"/>
    <w:rsid w:val="003871FD"/>
    <w:rsid w:val="003A1DA9"/>
    <w:rsid w:val="003A1E30"/>
    <w:rsid w:val="003A2829"/>
    <w:rsid w:val="003A7D1C"/>
    <w:rsid w:val="003B304B"/>
    <w:rsid w:val="003B3146"/>
    <w:rsid w:val="003C41CE"/>
    <w:rsid w:val="003D31AC"/>
    <w:rsid w:val="003F015E"/>
    <w:rsid w:val="003F0B65"/>
    <w:rsid w:val="00400414"/>
    <w:rsid w:val="00412E90"/>
    <w:rsid w:val="0041446B"/>
    <w:rsid w:val="00431392"/>
    <w:rsid w:val="0044329C"/>
    <w:rsid w:val="00453E24"/>
    <w:rsid w:val="00457456"/>
    <w:rsid w:val="004577FE"/>
    <w:rsid w:val="00457B9C"/>
    <w:rsid w:val="0046164A"/>
    <w:rsid w:val="004628D2"/>
    <w:rsid w:val="00462DCD"/>
    <w:rsid w:val="004648AD"/>
    <w:rsid w:val="00464C2B"/>
    <w:rsid w:val="004703A9"/>
    <w:rsid w:val="004760DE"/>
    <w:rsid w:val="004763D7"/>
    <w:rsid w:val="0048770C"/>
    <w:rsid w:val="004A004E"/>
    <w:rsid w:val="004A19C2"/>
    <w:rsid w:val="004A24CF"/>
    <w:rsid w:val="004B4F88"/>
    <w:rsid w:val="004C3146"/>
    <w:rsid w:val="004C3D1D"/>
    <w:rsid w:val="004C7913"/>
    <w:rsid w:val="004D55C0"/>
    <w:rsid w:val="004E016F"/>
    <w:rsid w:val="004E4DD6"/>
    <w:rsid w:val="004F5E36"/>
    <w:rsid w:val="00504F69"/>
    <w:rsid w:val="00507B47"/>
    <w:rsid w:val="00507BEF"/>
    <w:rsid w:val="00507CC9"/>
    <w:rsid w:val="005119A5"/>
    <w:rsid w:val="00517A75"/>
    <w:rsid w:val="00526B3E"/>
    <w:rsid w:val="005278B7"/>
    <w:rsid w:val="00532016"/>
    <w:rsid w:val="005346C8"/>
    <w:rsid w:val="00543E7D"/>
    <w:rsid w:val="00544D65"/>
    <w:rsid w:val="00547A68"/>
    <w:rsid w:val="005531C9"/>
    <w:rsid w:val="00566C44"/>
    <w:rsid w:val="00570C43"/>
    <w:rsid w:val="00571F75"/>
    <w:rsid w:val="005746FD"/>
    <w:rsid w:val="00580564"/>
    <w:rsid w:val="00587697"/>
    <w:rsid w:val="005A4537"/>
    <w:rsid w:val="005B2110"/>
    <w:rsid w:val="005B61E6"/>
    <w:rsid w:val="005C3720"/>
    <w:rsid w:val="005C77E1"/>
    <w:rsid w:val="005D668A"/>
    <w:rsid w:val="005D6A2F"/>
    <w:rsid w:val="005E1A82"/>
    <w:rsid w:val="005E794C"/>
    <w:rsid w:val="005F0A28"/>
    <w:rsid w:val="005F0E5E"/>
    <w:rsid w:val="00600535"/>
    <w:rsid w:val="00610CD6"/>
    <w:rsid w:val="00620DEE"/>
    <w:rsid w:val="00621F92"/>
    <w:rsid w:val="0062280A"/>
    <w:rsid w:val="00625639"/>
    <w:rsid w:val="006275B1"/>
    <w:rsid w:val="00631B33"/>
    <w:rsid w:val="0064184D"/>
    <w:rsid w:val="006422CC"/>
    <w:rsid w:val="00656414"/>
    <w:rsid w:val="00660E3E"/>
    <w:rsid w:val="00662E74"/>
    <w:rsid w:val="0067390F"/>
    <w:rsid w:val="00680C23"/>
    <w:rsid w:val="00693766"/>
    <w:rsid w:val="006A3281"/>
    <w:rsid w:val="006B4888"/>
    <w:rsid w:val="006B4EA3"/>
    <w:rsid w:val="006B749A"/>
    <w:rsid w:val="006C2E45"/>
    <w:rsid w:val="006C359C"/>
    <w:rsid w:val="006C5579"/>
    <w:rsid w:val="006D6E8B"/>
    <w:rsid w:val="006E737D"/>
    <w:rsid w:val="006F2D5D"/>
    <w:rsid w:val="00705EC7"/>
    <w:rsid w:val="0071075E"/>
    <w:rsid w:val="00713973"/>
    <w:rsid w:val="00720A24"/>
    <w:rsid w:val="00723BE5"/>
    <w:rsid w:val="00732386"/>
    <w:rsid w:val="0073514D"/>
    <w:rsid w:val="00735636"/>
    <w:rsid w:val="007407F6"/>
    <w:rsid w:val="007447F3"/>
    <w:rsid w:val="0075363D"/>
    <w:rsid w:val="0075499F"/>
    <w:rsid w:val="0076616A"/>
    <w:rsid w:val="007661C8"/>
    <w:rsid w:val="0077098D"/>
    <w:rsid w:val="00792525"/>
    <w:rsid w:val="007931FA"/>
    <w:rsid w:val="007944DA"/>
    <w:rsid w:val="007A4861"/>
    <w:rsid w:val="007A7BBA"/>
    <w:rsid w:val="007B0C50"/>
    <w:rsid w:val="007B48F9"/>
    <w:rsid w:val="007C1A43"/>
    <w:rsid w:val="007C6B53"/>
    <w:rsid w:val="0080013E"/>
    <w:rsid w:val="00806930"/>
    <w:rsid w:val="00813288"/>
    <w:rsid w:val="008168FC"/>
    <w:rsid w:val="0082534E"/>
    <w:rsid w:val="00830996"/>
    <w:rsid w:val="008345F1"/>
    <w:rsid w:val="00845F1A"/>
    <w:rsid w:val="00851DCB"/>
    <w:rsid w:val="008650F1"/>
    <w:rsid w:val="00865B07"/>
    <w:rsid w:val="008667EA"/>
    <w:rsid w:val="0087129E"/>
    <w:rsid w:val="0087637F"/>
    <w:rsid w:val="00892AD5"/>
    <w:rsid w:val="008A1512"/>
    <w:rsid w:val="008D05C6"/>
    <w:rsid w:val="008D32B9"/>
    <w:rsid w:val="008D433B"/>
    <w:rsid w:val="008E566E"/>
    <w:rsid w:val="008F5F07"/>
    <w:rsid w:val="0090161A"/>
    <w:rsid w:val="00901EB6"/>
    <w:rsid w:val="00904C62"/>
    <w:rsid w:val="009131AE"/>
    <w:rsid w:val="00922BA8"/>
    <w:rsid w:val="00924DAC"/>
    <w:rsid w:val="00927058"/>
    <w:rsid w:val="00942481"/>
    <w:rsid w:val="00942750"/>
    <w:rsid w:val="009450CE"/>
    <w:rsid w:val="00947179"/>
    <w:rsid w:val="0095164B"/>
    <w:rsid w:val="00954090"/>
    <w:rsid w:val="009573E7"/>
    <w:rsid w:val="00963E05"/>
    <w:rsid w:val="00967843"/>
    <w:rsid w:val="00967D54"/>
    <w:rsid w:val="00971028"/>
    <w:rsid w:val="00993B84"/>
    <w:rsid w:val="00996483"/>
    <w:rsid w:val="00996F5A"/>
    <w:rsid w:val="009A1031"/>
    <w:rsid w:val="009A512F"/>
    <w:rsid w:val="009A7504"/>
    <w:rsid w:val="009B041A"/>
    <w:rsid w:val="009B35EE"/>
    <w:rsid w:val="009C030D"/>
    <w:rsid w:val="009C11F2"/>
    <w:rsid w:val="009C37C3"/>
    <w:rsid w:val="009C6EE6"/>
    <w:rsid w:val="009C7C86"/>
    <w:rsid w:val="009D2FF7"/>
    <w:rsid w:val="009D6888"/>
    <w:rsid w:val="009E4341"/>
    <w:rsid w:val="009E7884"/>
    <w:rsid w:val="009E788A"/>
    <w:rsid w:val="009F0E08"/>
    <w:rsid w:val="00A1763D"/>
    <w:rsid w:val="00A17CEC"/>
    <w:rsid w:val="00A21E7F"/>
    <w:rsid w:val="00A27EF0"/>
    <w:rsid w:val="00A36E00"/>
    <w:rsid w:val="00A37551"/>
    <w:rsid w:val="00A42361"/>
    <w:rsid w:val="00A47A80"/>
    <w:rsid w:val="00A50B20"/>
    <w:rsid w:val="00A51390"/>
    <w:rsid w:val="00A60D13"/>
    <w:rsid w:val="00A72745"/>
    <w:rsid w:val="00A74199"/>
    <w:rsid w:val="00A76EFC"/>
    <w:rsid w:val="00A809BF"/>
    <w:rsid w:val="00A91010"/>
    <w:rsid w:val="00A97F29"/>
    <w:rsid w:val="00AA702E"/>
    <w:rsid w:val="00AB0964"/>
    <w:rsid w:val="00AB5011"/>
    <w:rsid w:val="00AC3C85"/>
    <w:rsid w:val="00AC7368"/>
    <w:rsid w:val="00AD16B9"/>
    <w:rsid w:val="00AD7EAD"/>
    <w:rsid w:val="00AE377D"/>
    <w:rsid w:val="00AF0EBA"/>
    <w:rsid w:val="00B02C8A"/>
    <w:rsid w:val="00B151E8"/>
    <w:rsid w:val="00B15E63"/>
    <w:rsid w:val="00B17FBD"/>
    <w:rsid w:val="00B315A6"/>
    <w:rsid w:val="00B31813"/>
    <w:rsid w:val="00B33365"/>
    <w:rsid w:val="00B433FF"/>
    <w:rsid w:val="00B4797B"/>
    <w:rsid w:val="00B57B36"/>
    <w:rsid w:val="00B57E6F"/>
    <w:rsid w:val="00B65ADD"/>
    <w:rsid w:val="00B86195"/>
    <w:rsid w:val="00B8686D"/>
    <w:rsid w:val="00B93F69"/>
    <w:rsid w:val="00BB1DDC"/>
    <w:rsid w:val="00BC0DBF"/>
    <w:rsid w:val="00BC30C9"/>
    <w:rsid w:val="00BD077D"/>
    <w:rsid w:val="00BE073C"/>
    <w:rsid w:val="00BE3E58"/>
    <w:rsid w:val="00C01616"/>
    <w:rsid w:val="00C0162B"/>
    <w:rsid w:val="00C068ED"/>
    <w:rsid w:val="00C22E0C"/>
    <w:rsid w:val="00C345B1"/>
    <w:rsid w:val="00C40142"/>
    <w:rsid w:val="00C40622"/>
    <w:rsid w:val="00C42D89"/>
    <w:rsid w:val="00C52C3C"/>
    <w:rsid w:val="00C57182"/>
    <w:rsid w:val="00C57863"/>
    <w:rsid w:val="00C651ED"/>
    <w:rsid w:val="00C655FD"/>
    <w:rsid w:val="00C736D4"/>
    <w:rsid w:val="00C75407"/>
    <w:rsid w:val="00C8204A"/>
    <w:rsid w:val="00C870A8"/>
    <w:rsid w:val="00C94434"/>
    <w:rsid w:val="00CA0D75"/>
    <w:rsid w:val="00CA1C95"/>
    <w:rsid w:val="00CA566D"/>
    <w:rsid w:val="00CA5A9C"/>
    <w:rsid w:val="00CC4C20"/>
    <w:rsid w:val="00CD3517"/>
    <w:rsid w:val="00CD5FE2"/>
    <w:rsid w:val="00CE7C68"/>
    <w:rsid w:val="00D02B4C"/>
    <w:rsid w:val="00D040C4"/>
    <w:rsid w:val="00D11075"/>
    <w:rsid w:val="00D1753E"/>
    <w:rsid w:val="00D21186"/>
    <w:rsid w:val="00D46B7E"/>
    <w:rsid w:val="00D57C84"/>
    <w:rsid w:val="00D6057D"/>
    <w:rsid w:val="00D66A14"/>
    <w:rsid w:val="00D836C5"/>
    <w:rsid w:val="00D84576"/>
    <w:rsid w:val="00D86315"/>
    <w:rsid w:val="00D90A97"/>
    <w:rsid w:val="00DA1399"/>
    <w:rsid w:val="00DA24C6"/>
    <w:rsid w:val="00DA4D7B"/>
    <w:rsid w:val="00DB5DAB"/>
    <w:rsid w:val="00DC10BB"/>
    <w:rsid w:val="00DC6067"/>
    <w:rsid w:val="00DE264A"/>
    <w:rsid w:val="00DE50D1"/>
    <w:rsid w:val="00DF5072"/>
    <w:rsid w:val="00E00418"/>
    <w:rsid w:val="00E014B6"/>
    <w:rsid w:val="00E02D18"/>
    <w:rsid w:val="00E041E7"/>
    <w:rsid w:val="00E07557"/>
    <w:rsid w:val="00E23CA1"/>
    <w:rsid w:val="00E25F7B"/>
    <w:rsid w:val="00E409A8"/>
    <w:rsid w:val="00E50C12"/>
    <w:rsid w:val="00E55B9E"/>
    <w:rsid w:val="00E65B91"/>
    <w:rsid w:val="00E7209D"/>
    <w:rsid w:val="00E72EAD"/>
    <w:rsid w:val="00E77223"/>
    <w:rsid w:val="00E81DEE"/>
    <w:rsid w:val="00E81F18"/>
    <w:rsid w:val="00E8528B"/>
    <w:rsid w:val="00E85B94"/>
    <w:rsid w:val="00E94BF0"/>
    <w:rsid w:val="00E978D0"/>
    <w:rsid w:val="00EA1E4F"/>
    <w:rsid w:val="00EA4613"/>
    <w:rsid w:val="00EA7F91"/>
    <w:rsid w:val="00EB1523"/>
    <w:rsid w:val="00EB33A1"/>
    <w:rsid w:val="00EB73DC"/>
    <w:rsid w:val="00EC0E49"/>
    <w:rsid w:val="00EC101F"/>
    <w:rsid w:val="00EC1D9F"/>
    <w:rsid w:val="00EC2CC9"/>
    <w:rsid w:val="00EE0131"/>
    <w:rsid w:val="00EE17B0"/>
    <w:rsid w:val="00EE46BA"/>
    <w:rsid w:val="00EE78AD"/>
    <w:rsid w:val="00EF06D9"/>
    <w:rsid w:val="00F30A55"/>
    <w:rsid w:val="00F30C64"/>
    <w:rsid w:val="00F32BA2"/>
    <w:rsid w:val="00F32CDB"/>
    <w:rsid w:val="00F40938"/>
    <w:rsid w:val="00F44107"/>
    <w:rsid w:val="00F53861"/>
    <w:rsid w:val="00F558C8"/>
    <w:rsid w:val="00F565FE"/>
    <w:rsid w:val="00F63A70"/>
    <w:rsid w:val="00F7234E"/>
    <w:rsid w:val="00F7534E"/>
    <w:rsid w:val="00F8493A"/>
    <w:rsid w:val="00F934E5"/>
    <w:rsid w:val="00FA21D0"/>
    <w:rsid w:val="00FA5F5F"/>
    <w:rsid w:val="00FB10F0"/>
    <w:rsid w:val="00FB6F05"/>
    <w:rsid w:val="00FB730C"/>
    <w:rsid w:val="00FC2695"/>
    <w:rsid w:val="00FC3BB1"/>
    <w:rsid w:val="00FC3E03"/>
    <w:rsid w:val="00FC3FC1"/>
    <w:rsid w:val="00FC4EB7"/>
    <w:rsid w:val="00FC5D16"/>
    <w:rsid w:val="00FC796A"/>
    <w:rsid w:val="00FD39A5"/>
    <w:rsid w:val="00FD6A01"/>
    <w:rsid w:val="00FF157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D15553"/>
  <w14:defaultImageDpi w14:val="330"/>
  <w15:docId w15:val="{45F8D3C5-C8B0-4F47-9EEA-254982E7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E2C29"/>
    <w:pPr>
      <w:keepNext/>
      <w:suppressAutoHyphens/>
      <w:spacing w:before="120" w:after="120" w:line="240" w:lineRule="auto"/>
    </w:pPr>
    <w:rPr>
      <w:rFonts w:ascii="Arial" w:eastAsia="Times New Roman" w:hAnsi="Arial" w:cs="Times New Roman"/>
      <w:b/>
      <w:sz w:val="20"/>
      <w:szCs w:val="20"/>
      <w:lang w:val="es-CO"/>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E2C29"/>
    <w:rPr>
      <w:rFonts w:ascii="Arial" w:eastAsia="Times New Roman" w:hAnsi="Arial" w:cs="Times New Roman"/>
      <w:b/>
      <w:sz w:val="20"/>
      <w:szCs w:val="20"/>
      <w:lang w:val="es-CO"/>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9C030D"/>
    <w:rPr>
      <w:color w:val="605E5C"/>
      <w:shd w:val="clear" w:color="auto" w:fill="E1DFDD"/>
    </w:rPr>
  </w:style>
  <w:style w:type="paragraph" w:styleId="Revisin">
    <w:name w:val="Revision"/>
    <w:hidden/>
    <w:uiPriority w:val="99"/>
    <w:semiHidden/>
    <w:rsid w:val="007C6B5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9967">
      <w:bodyDiv w:val="1"/>
      <w:marLeft w:val="0"/>
      <w:marRight w:val="0"/>
      <w:marTop w:val="0"/>
      <w:marBottom w:val="0"/>
      <w:divBdr>
        <w:top w:val="none" w:sz="0" w:space="0" w:color="auto"/>
        <w:left w:val="none" w:sz="0" w:space="0" w:color="auto"/>
        <w:bottom w:val="none" w:sz="0" w:space="0" w:color="auto"/>
        <w:right w:val="none" w:sz="0" w:space="0" w:color="auto"/>
      </w:divBdr>
    </w:div>
    <w:div w:id="128281290">
      <w:bodyDiv w:val="1"/>
      <w:marLeft w:val="0"/>
      <w:marRight w:val="0"/>
      <w:marTop w:val="0"/>
      <w:marBottom w:val="0"/>
      <w:divBdr>
        <w:top w:val="none" w:sz="0" w:space="0" w:color="auto"/>
        <w:left w:val="none" w:sz="0" w:space="0" w:color="auto"/>
        <w:bottom w:val="none" w:sz="0" w:space="0" w:color="auto"/>
        <w:right w:val="none" w:sz="0" w:space="0" w:color="auto"/>
      </w:divBdr>
    </w:div>
    <w:div w:id="134222897">
      <w:bodyDiv w:val="1"/>
      <w:marLeft w:val="0"/>
      <w:marRight w:val="0"/>
      <w:marTop w:val="0"/>
      <w:marBottom w:val="0"/>
      <w:divBdr>
        <w:top w:val="none" w:sz="0" w:space="0" w:color="auto"/>
        <w:left w:val="none" w:sz="0" w:space="0" w:color="auto"/>
        <w:bottom w:val="none" w:sz="0" w:space="0" w:color="auto"/>
        <w:right w:val="none" w:sz="0" w:space="0" w:color="auto"/>
      </w:divBdr>
    </w:div>
    <w:div w:id="281889521">
      <w:bodyDiv w:val="1"/>
      <w:marLeft w:val="0"/>
      <w:marRight w:val="0"/>
      <w:marTop w:val="0"/>
      <w:marBottom w:val="0"/>
      <w:divBdr>
        <w:top w:val="none" w:sz="0" w:space="0" w:color="auto"/>
        <w:left w:val="none" w:sz="0" w:space="0" w:color="auto"/>
        <w:bottom w:val="none" w:sz="0" w:space="0" w:color="auto"/>
        <w:right w:val="none" w:sz="0" w:space="0" w:color="auto"/>
      </w:divBdr>
    </w:div>
    <w:div w:id="594825195">
      <w:bodyDiv w:val="1"/>
      <w:marLeft w:val="0"/>
      <w:marRight w:val="0"/>
      <w:marTop w:val="0"/>
      <w:marBottom w:val="0"/>
      <w:divBdr>
        <w:top w:val="none" w:sz="0" w:space="0" w:color="auto"/>
        <w:left w:val="none" w:sz="0" w:space="0" w:color="auto"/>
        <w:bottom w:val="none" w:sz="0" w:space="0" w:color="auto"/>
        <w:right w:val="none" w:sz="0" w:space="0" w:color="auto"/>
      </w:divBdr>
    </w:div>
    <w:div w:id="652411928">
      <w:bodyDiv w:val="1"/>
      <w:marLeft w:val="0"/>
      <w:marRight w:val="0"/>
      <w:marTop w:val="0"/>
      <w:marBottom w:val="0"/>
      <w:divBdr>
        <w:top w:val="none" w:sz="0" w:space="0" w:color="auto"/>
        <w:left w:val="none" w:sz="0" w:space="0" w:color="auto"/>
        <w:bottom w:val="none" w:sz="0" w:space="0" w:color="auto"/>
        <w:right w:val="none" w:sz="0" w:space="0" w:color="auto"/>
      </w:divBdr>
    </w:div>
    <w:div w:id="76260509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19956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6915">
      <w:bodyDiv w:val="1"/>
      <w:marLeft w:val="0"/>
      <w:marRight w:val="0"/>
      <w:marTop w:val="0"/>
      <w:marBottom w:val="0"/>
      <w:divBdr>
        <w:top w:val="none" w:sz="0" w:space="0" w:color="auto"/>
        <w:left w:val="none" w:sz="0" w:space="0" w:color="auto"/>
        <w:bottom w:val="none" w:sz="0" w:space="0" w:color="auto"/>
        <w:right w:val="none" w:sz="0" w:space="0" w:color="auto"/>
      </w:divBdr>
    </w:div>
    <w:div w:id="1080564712">
      <w:bodyDiv w:val="1"/>
      <w:marLeft w:val="0"/>
      <w:marRight w:val="0"/>
      <w:marTop w:val="0"/>
      <w:marBottom w:val="0"/>
      <w:divBdr>
        <w:top w:val="none" w:sz="0" w:space="0" w:color="auto"/>
        <w:left w:val="none" w:sz="0" w:space="0" w:color="auto"/>
        <w:bottom w:val="none" w:sz="0" w:space="0" w:color="auto"/>
        <w:right w:val="none" w:sz="0" w:space="0" w:color="auto"/>
      </w:divBdr>
    </w:div>
    <w:div w:id="113699033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8065725">
      <w:bodyDiv w:val="1"/>
      <w:marLeft w:val="0"/>
      <w:marRight w:val="0"/>
      <w:marTop w:val="0"/>
      <w:marBottom w:val="0"/>
      <w:divBdr>
        <w:top w:val="none" w:sz="0" w:space="0" w:color="auto"/>
        <w:left w:val="none" w:sz="0" w:space="0" w:color="auto"/>
        <w:bottom w:val="none" w:sz="0" w:space="0" w:color="auto"/>
        <w:right w:val="none" w:sz="0" w:space="0" w:color="auto"/>
      </w:divBdr>
    </w:div>
    <w:div w:id="148886043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5484">
      <w:bodyDiv w:val="1"/>
      <w:marLeft w:val="0"/>
      <w:marRight w:val="0"/>
      <w:marTop w:val="0"/>
      <w:marBottom w:val="0"/>
      <w:divBdr>
        <w:top w:val="none" w:sz="0" w:space="0" w:color="auto"/>
        <w:left w:val="none" w:sz="0" w:space="0" w:color="auto"/>
        <w:bottom w:val="none" w:sz="0" w:space="0" w:color="auto"/>
        <w:right w:val="none" w:sz="0" w:space="0" w:color="auto"/>
      </w:divBdr>
    </w:div>
    <w:div w:id="2117287307">
      <w:bodyDiv w:val="1"/>
      <w:marLeft w:val="0"/>
      <w:marRight w:val="0"/>
      <w:marTop w:val="0"/>
      <w:marBottom w:val="0"/>
      <w:divBdr>
        <w:top w:val="none" w:sz="0" w:space="0" w:color="auto"/>
        <w:left w:val="none" w:sz="0" w:space="0" w:color="auto"/>
        <w:bottom w:val="none" w:sz="0" w:space="0" w:color="auto"/>
        <w:right w:val="none" w:sz="0" w:space="0" w:color="auto"/>
      </w:divBdr>
    </w:div>
    <w:div w:id="212206432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s://www.marcialpons.es/autores/monroy-nestor/1144276/" TargetMode="External"/><Relationship Id="rId3" Type="http://schemas.openxmlformats.org/officeDocument/2006/relationships/styles" Target="styles.xml"/><Relationship Id="rId21" Type="http://schemas.openxmlformats.org/officeDocument/2006/relationships/hyperlink" Target="https://www.minambiente.gov.co/index.php/component/content/article/154-plantillaasuntos-ambientales-y-sectorial-y-urbana-7"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marcialpons.es/autores/hoof-bart-van/1144275/" TargetMode="External"/><Relationship Id="rId2" Type="http://schemas.openxmlformats.org/officeDocument/2006/relationships/numbering" Target="numbering.xml"/><Relationship Id="rId16" Type="http://schemas.openxmlformats.org/officeDocument/2006/relationships/hyperlink" Target="http://ojs.urepublicana.edu.co/index.php/ingenieria/article/view/395/348" TargetMode="External"/><Relationship Id="rId20" Type="http://schemas.openxmlformats.org/officeDocument/2006/relationships/hyperlink" Target="https://www.marcialpons.es/editoriales/alfaomega-grupo-editor/18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hemeroteca.unad.edu.co/index.php/riaa/article/view/2271/2504" TargetMode="External"/><Relationship Id="rId23" Type="http://schemas.openxmlformats.org/officeDocument/2006/relationships/theme" Target="theme/theme1.xml"/><Relationship Id="rId10" Type="http://schemas.openxmlformats.org/officeDocument/2006/relationships/hyperlink" Target="mailto:jpgraciar@udistrital.edu.co" TargetMode="External"/><Relationship Id="rId19" Type="http://schemas.openxmlformats.org/officeDocument/2006/relationships/hyperlink" Target="https://www.marcialpons.es/autores/saer-alex/11442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Docs%20UCC\Investigaci&#243;n\Proyecto%20ISO%2014001\EMPRESAS%20HERRAMIENTAS\HERRAMIENTAS%20OFFSET%20Y%20NOM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ocs%20UCC\Investigaci&#243;n\Proyecto%20ISO%2014001\Auxiliares\Aplicaci&#243;n%20de%20las%20herramientas\Nomos\HERRAMIENTA%20NOMOS(Recuperado%20autom&#225;ticament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105546019320522E-2"/>
          <c:y val="4.25737849100465E-2"/>
          <c:w val="0.84773668432966476"/>
          <c:h val="0.45613467822203096"/>
        </c:manualLayout>
      </c:layout>
      <c:barChart>
        <c:barDir val="col"/>
        <c:grouping val="clustered"/>
        <c:varyColors val="0"/>
        <c:ser>
          <c:idx val="0"/>
          <c:order val="0"/>
          <c:tx>
            <c:strRef>
              <c:f>' Histograma Nomos'!$D$1</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7A29-4BBA-9804-4503F646918C}"/>
              </c:ext>
            </c:extLst>
          </c:dPt>
          <c:dPt>
            <c:idx val="2"/>
            <c:invertIfNegative val="0"/>
            <c:bubble3D val="0"/>
            <c:spPr>
              <a:solidFill>
                <a:schemeClr val="accent3"/>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7A29-4BBA-9804-4503F646918C}"/>
              </c:ext>
            </c:extLst>
          </c:dPt>
          <c:dPt>
            <c:idx val="4"/>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5-7A29-4BBA-9804-4503F646918C}"/>
              </c:ext>
            </c:extLst>
          </c:dPt>
          <c:dPt>
            <c:idx val="7"/>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7-7A29-4BBA-9804-4503F646918C}"/>
              </c:ext>
            </c:extLst>
          </c:dPt>
          <c:dPt>
            <c:idx val="9"/>
            <c:invertIfNegative val="0"/>
            <c:bubble3D val="0"/>
            <c:spPr>
              <a:solidFill>
                <a:schemeClr val="accent3"/>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9-7A29-4BBA-9804-4503F646918C}"/>
              </c:ext>
            </c:extLst>
          </c:dPt>
          <c:dPt>
            <c:idx val="11"/>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B-7A29-4BBA-9804-4503F646918C}"/>
              </c:ext>
            </c:extLst>
          </c:dPt>
          <c:dPt>
            <c:idx val="12"/>
            <c:invertIfNegative val="0"/>
            <c:bubble3D val="0"/>
            <c:spPr>
              <a:solidFill>
                <a:schemeClr val="accent3"/>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D-7A29-4BBA-9804-4503F646918C}"/>
              </c:ext>
            </c:extLst>
          </c:dPt>
          <c:dPt>
            <c:idx val="15"/>
            <c:invertIfNegative val="0"/>
            <c:bubble3D val="0"/>
            <c:spPr>
              <a:solidFill>
                <a:schemeClr val="accent3"/>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F-7A29-4BBA-9804-4503F646918C}"/>
              </c:ext>
            </c:extLst>
          </c:dPt>
          <c:cat>
            <c:strRef>
              <c:f>' Histograma Nomos'!$B$2:$C$17</c:f>
              <c:strCache>
                <c:ptCount val="16"/>
                <c:pt idx="0">
                  <c:v>Used film waste</c:v>
                </c:pt>
                <c:pt idx="1">
                  <c:v>Hazardous liquid waste (metals, inks, waste water mixed with chemicals, alcohols, fixatives)</c:v>
                </c:pt>
                <c:pt idx="2">
                  <c:v>Non-conforming product waste</c:v>
                </c:pt>
                <c:pt idx="3">
                  <c:v>Liquid and solid waste (mixed)</c:v>
                </c:pt>
                <c:pt idx="4">
                  <c:v>Hazardous solid waste</c:v>
                </c:pt>
                <c:pt idx="5">
                  <c:v>Packaging</c:v>
                </c:pt>
                <c:pt idx="6">
                  <c:v>Recyclable waste</c:v>
                </c:pt>
                <c:pt idx="7">
                  <c:v>Atmospheric emissions</c:v>
                </c:pt>
                <c:pt idx="8">
                  <c:v>Dirty rags and used plates</c:v>
                </c:pt>
                <c:pt idx="9">
                  <c:v>Printed paper scraps</c:v>
                </c:pt>
                <c:pt idx="10">
                  <c:v>Water consumption</c:v>
                </c:pt>
                <c:pt idx="11">
                  <c:v>Energy consumption</c:v>
                </c:pt>
                <c:pt idx="12">
                  <c:v>Combustion</c:v>
                </c:pt>
                <c:pt idx="13">
                  <c:v>Books, diaries, calendars, posters</c:v>
                </c:pt>
                <c:pt idx="14">
                  <c:v>Noise generation</c:v>
                </c:pt>
                <c:pt idx="15">
                  <c:v>Spills on the ground</c:v>
                </c:pt>
              </c:strCache>
            </c:strRef>
          </c:cat>
          <c:val>
            <c:numRef>
              <c:f>' Histograma Nomos'!$D$2:$D$17</c:f>
              <c:numCache>
                <c:formatCode>0.00</c:formatCode>
                <c:ptCount val="16"/>
                <c:pt idx="0">
                  <c:v>0.05</c:v>
                </c:pt>
                <c:pt idx="1">
                  <c:v>0.15</c:v>
                </c:pt>
                <c:pt idx="2">
                  <c:v>0.03</c:v>
                </c:pt>
                <c:pt idx="3">
                  <c:v>0.06</c:v>
                </c:pt>
                <c:pt idx="4">
                  <c:v>0.1</c:v>
                </c:pt>
                <c:pt idx="5">
                  <c:v>0.05</c:v>
                </c:pt>
                <c:pt idx="6">
                  <c:v>0.05</c:v>
                </c:pt>
                <c:pt idx="7">
                  <c:v>0.11</c:v>
                </c:pt>
                <c:pt idx="8">
                  <c:v>0.06</c:v>
                </c:pt>
                <c:pt idx="9">
                  <c:v>0.03</c:v>
                </c:pt>
                <c:pt idx="10">
                  <c:v>0.06</c:v>
                </c:pt>
                <c:pt idx="11">
                  <c:v>0.1</c:v>
                </c:pt>
                <c:pt idx="12">
                  <c:v>0.03</c:v>
                </c:pt>
                <c:pt idx="13">
                  <c:v>0.05</c:v>
                </c:pt>
                <c:pt idx="14">
                  <c:v>0.05</c:v>
                </c:pt>
                <c:pt idx="15">
                  <c:v>0.02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10-7A29-4BBA-9804-4503F646918C}"/>
            </c:ext>
          </c:extLst>
        </c:ser>
        <c:dLbls>
          <c:showLegendKey val="0"/>
          <c:showVal val="0"/>
          <c:showCatName val="0"/>
          <c:showSerName val="0"/>
          <c:showPercent val="0"/>
          <c:showBubbleSize val="0"/>
        </c:dLbls>
        <c:gapWidth val="100"/>
        <c:overlap val="-24"/>
        <c:axId val="694623536"/>
        <c:axId val="694620816"/>
      </c:barChart>
      <c:catAx>
        <c:axId val="69462353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s-CO" b="1"/>
                  <a:t>ENVIRONMENTAL ASPECTS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mn-lt"/>
                <a:ea typeface="+mn-ea"/>
                <a:cs typeface="+mn-cs"/>
              </a:defRPr>
            </a:pPr>
            <a:endParaRPr lang="es-CO"/>
          </a:p>
        </c:txPr>
        <c:crossAx val="694620816"/>
        <c:crosses val="autoZero"/>
        <c:auto val="1"/>
        <c:lblAlgn val="ctr"/>
        <c:lblOffset val="100"/>
        <c:noMultiLvlLbl val="0"/>
      </c:catAx>
      <c:valAx>
        <c:axId val="694620816"/>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s-CO" b="1"/>
                  <a:t>LEVEL OF SIGNIFICANCE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69462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12948381452318"/>
          <c:y val="5.8287795992714025E-2"/>
          <c:w val="0.81979396325459319"/>
          <c:h val="0.67890079313856255"/>
        </c:manualLayout>
      </c:layout>
      <c:barChart>
        <c:barDir val="col"/>
        <c:grouping val="clustered"/>
        <c:varyColors val="0"/>
        <c:ser>
          <c:idx val="0"/>
          <c:order val="0"/>
          <c:tx>
            <c:strRef>
              <c:f>'HISTOGRAMA AMFE'!$B$1</c:f>
              <c:strCache>
                <c:ptCount val="1"/>
                <c:pt idx="0">
                  <c:v>RPL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'HISTOGRAMA AMFE'!$A$2:$A$7</c:f>
              <c:strCache>
                <c:ptCount val="6"/>
                <c:pt idx="0">
                  <c:v>Atmospheric emissions</c:v>
                </c:pt>
                <c:pt idx="1">
                  <c:v>Liquid waste</c:v>
                </c:pt>
                <c:pt idx="2">
                  <c:v>Solid waste Non-hazardous</c:v>
                </c:pt>
                <c:pt idx="3">
                  <c:v>Solid waste Non-hazardous </c:v>
                </c:pt>
                <c:pt idx="4">
                  <c:v>Hazardous solid waste</c:v>
                </c:pt>
                <c:pt idx="5">
                  <c:v>Use of natural resources</c:v>
                </c:pt>
              </c:strCache>
            </c:strRef>
          </c:cat>
          <c:val>
            <c:numRef>
              <c:f>'HISTOGRAMA AMFE'!$B$2:$B$7</c:f>
              <c:numCache>
                <c:formatCode>General</c:formatCode>
                <c:ptCount val="6"/>
                <c:pt idx="0">
                  <c:v>2594</c:v>
                </c:pt>
                <c:pt idx="1">
                  <c:v>2063</c:v>
                </c:pt>
                <c:pt idx="2">
                  <c:v>2028</c:v>
                </c:pt>
                <c:pt idx="3">
                  <c:v>1533</c:v>
                </c:pt>
                <c:pt idx="4">
                  <c:v>1203</c:v>
                </c:pt>
                <c:pt idx="5">
                  <c:v>512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B56E-4C46-A4D4-7AC1618FFA2F}"/>
            </c:ext>
          </c:extLst>
        </c:ser>
        <c:dLbls>
          <c:showLegendKey val="0"/>
          <c:showVal val="0"/>
          <c:showCatName val="0"/>
          <c:showSerName val="0"/>
          <c:showPercent val="0"/>
          <c:showBubbleSize val="0"/>
        </c:dLbls>
        <c:gapWidth val="100"/>
        <c:overlap val="-24"/>
        <c:axId val="-397097664"/>
        <c:axId val="-397099296"/>
      </c:barChart>
      <c:catAx>
        <c:axId val="-39709766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s-CO" b="1"/>
                  <a:t>EFFECTS</a:t>
                </a:r>
              </a:p>
            </c:rich>
          </c:tx>
          <c:layout>
            <c:manualLayout>
              <c:xMode val="edge"/>
              <c:yMode val="edge"/>
              <c:x val="1.9063091797069671E-2"/>
              <c:y val="0.7980750923083765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397099296"/>
        <c:crosses val="autoZero"/>
        <c:auto val="1"/>
        <c:lblAlgn val="ctr"/>
        <c:lblOffset val="100"/>
        <c:noMultiLvlLbl val="0"/>
      </c:catAx>
      <c:valAx>
        <c:axId val="-397099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GB" b="1"/>
                  <a:t>Risk Priority Levels - RPL </a:t>
                </a:r>
                <a:endParaRPr lang="es-CO" b="1"/>
              </a:p>
            </c:rich>
          </c:tx>
          <c:layout>
            <c:manualLayout>
              <c:xMode val="edge"/>
              <c:yMode val="edge"/>
              <c:x val="4.6029919447640967E-3"/>
              <c:y val="0.1101445793852039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397097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4C17-0136-4171-9B57-EE2FEA2C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3056</Words>
  <Characters>16811</Characters>
  <Application>Microsoft Office Word</Application>
  <DocSecurity>0</DocSecurity>
  <Lines>140</Lines>
  <Paragraphs>39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keywords>, docId:145C538176E41D8E6F2C78EA716241FE</cp:keywords>
  <cp:lastModifiedBy>Jeniffer Paola Gracia Rojas</cp:lastModifiedBy>
  <cp:revision>2</cp:revision>
  <cp:lastPrinted>2015-05-12T18:31:00Z</cp:lastPrinted>
  <dcterms:created xsi:type="dcterms:W3CDTF">2022-03-24T00:46:00Z</dcterms:created>
  <dcterms:modified xsi:type="dcterms:W3CDTF">2022-03-24T00:46:00Z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